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435806A5" w:rsidR="000931A1" w:rsidRPr="00BA60CD" w:rsidRDefault="000931A1" w:rsidP="00F409F0">
      <w:pPr>
        <w:numPr>
          <w:ilvl w:val="0"/>
          <w:numId w:val="1"/>
        </w:numPr>
        <w:ind w:right="-144"/>
        <w:jc w:val="both"/>
        <w:rPr>
          <w:b/>
          <w:sz w:val="18"/>
          <w:szCs w:val="18"/>
        </w:rPr>
      </w:pPr>
      <w:r w:rsidRPr="00BA60CD">
        <w:rPr>
          <w:b/>
          <w:sz w:val="18"/>
          <w:szCs w:val="18"/>
        </w:rPr>
        <w:t xml:space="preserve">Skrócona informacja o leku: </w:t>
      </w:r>
      <w:r w:rsidR="00661B66">
        <w:rPr>
          <w:b/>
          <w:sz w:val="18"/>
          <w:szCs w:val="18"/>
        </w:rPr>
        <w:t>Vigalex Forte</w:t>
      </w:r>
    </w:p>
    <w:p w14:paraId="715D4FC3" w14:textId="77777777" w:rsidR="000931A1" w:rsidRPr="00BA60CD" w:rsidRDefault="000931A1" w:rsidP="00F409F0">
      <w:pPr>
        <w:pStyle w:val="Nagwek4"/>
        <w:numPr>
          <w:ilvl w:val="3"/>
          <w:numId w:val="1"/>
        </w:numPr>
        <w:jc w:val="both"/>
        <w:rPr>
          <w:sz w:val="18"/>
          <w:szCs w:val="18"/>
          <w:lang w:val="pl-PL"/>
        </w:rPr>
      </w:pPr>
    </w:p>
    <w:p w14:paraId="23C9DB43" w14:textId="77777777" w:rsidR="000931A1" w:rsidRPr="00BA60CD" w:rsidRDefault="000931A1" w:rsidP="00F409F0">
      <w:pPr>
        <w:jc w:val="both"/>
        <w:rPr>
          <w:sz w:val="18"/>
          <w:szCs w:val="18"/>
        </w:rPr>
      </w:pPr>
    </w:p>
    <w:p w14:paraId="17C9C316" w14:textId="7ADF621A" w:rsidR="00E71ADF" w:rsidRPr="00E71ADF" w:rsidRDefault="00E71ADF" w:rsidP="00F409F0">
      <w:pPr>
        <w:jc w:val="both"/>
        <w:rPr>
          <w:b/>
          <w:bCs/>
          <w:sz w:val="18"/>
          <w:szCs w:val="18"/>
        </w:rPr>
      </w:pPr>
      <w:r w:rsidRPr="00E71ADF">
        <w:rPr>
          <w:b/>
          <w:bCs/>
          <w:sz w:val="18"/>
          <w:szCs w:val="18"/>
        </w:rPr>
        <w:t xml:space="preserve">Vigalex Forte: </w:t>
      </w:r>
      <w:r w:rsidRPr="00E71ADF">
        <w:rPr>
          <w:bCs/>
          <w:sz w:val="18"/>
          <w:szCs w:val="18"/>
        </w:rPr>
        <w:t>Jedna tabletka zawiera 20 mg cholekalcyferolu, proszku, co odpowiada 0,05 mg (2000 IU) cholekalcyferolu (witaminy D</w:t>
      </w:r>
      <w:r w:rsidRPr="00E71ADF">
        <w:rPr>
          <w:bCs/>
          <w:sz w:val="18"/>
          <w:szCs w:val="18"/>
          <w:vertAlign w:val="subscript"/>
        </w:rPr>
        <w:t>3</w:t>
      </w:r>
      <w:r w:rsidRPr="00E71ADF">
        <w:rPr>
          <w:bCs/>
          <w:sz w:val="18"/>
          <w:szCs w:val="18"/>
        </w:rPr>
        <w:t>).</w:t>
      </w:r>
    </w:p>
    <w:p w14:paraId="6618AC49" w14:textId="2812348D" w:rsidR="000931A1" w:rsidRPr="000D0DF6" w:rsidRDefault="000931A1" w:rsidP="00F409F0">
      <w:pPr>
        <w:jc w:val="both"/>
        <w:rPr>
          <w:sz w:val="18"/>
          <w:szCs w:val="18"/>
        </w:rPr>
      </w:pPr>
      <w:r w:rsidRPr="00BA60CD">
        <w:rPr>
          <w:b/>
          <w:sz w:val="18"/>
          <w:szCs w:val="18"/>
        </w:rPr>
        <w:t xml:space="preserve">Kod i grupa farmakoterapeutyczna według klasyfikacji </w:t>
      </w:r>
      <w:r w:rsidRPr="00BA60CD">
        <w:rPr>
          <w:b/>
          <w:bCs/>
          <w:sz w:val="18"/>
          <w:szCs w:val="18"/>
        </w:rPr>
        <w:t>ATC</w:t>
      </w:r>
      <w:r w:rsidRPr="000D0DF6">
        <w:rPr>
          <w:bCs/>
          <w:sz w:val="18"/>
          <w:szCs w:val="18"/>
        </w:rPr>
        <w:t>:</w:t>
      </w:r>
      <w:r w:rsidR="00F0708C" w:rsidRPr="000D0DF6">
        <w:rPr>
          <w:sz w:val="18"/>
          <w:szCs w:val="18"/>
        </w:rPr>
        <w:t xml:space="preserve"> </w:t>
      </w:r>
      <w:r w:rsidR="000D0DF6" w:rsidRPr="000D0DF6">
        <w:rPr>
          <w:sz w:val="18"/>
          <w:szCs w:val="18"/>
        </w:rPr>
        <w:t>prep</w:t>
      </w:r>
      <w:r w:rsidR="000D0DF6">
        <w:rPr>
          <w:sz w:val="18"/>
          <w:szCs w:val="18"/>
        </w:rPr>
        <w:t xml:space="preserve">araty witaminy D i jej analogi. </w:t>
      </w:r>
      <w:r w:rsidR="000D0DF6" w:rsidRPr="000D0DF6">
        <w:rPr>
          <w:sz w:val="18"/>
          <w:szCs w:val="18"/>
        </w:rPr>
        <w:t>Kod ATC: A11CC05</w:t>
      </w:r>
    </w:p>
    <w:p w14:paraId="7FB6DB28" w14:textId="0B588DD3" w:rsidR="00154A11" w:rsidRPr="00CD51C2" w:rsidRDefault="000931A1" w:rsidP="00154A11">
      <w:pPr>
        <w:suppressAutoHyphens w:val="0"/>
        <w:jc w:val="both"/>
        <w:rPr>
          <w:bCs/>
          <w:sz w:val="18"/>
          <w:szCs w:val="18"/>
        </w:rPr>
      </w:pPr>
      <w:r w:rsidRPr="00BA60CD">
        <w:rPr>
          <w:b/>
          <w:bCs/>
          <w:sz w:val="18"/>
          <w:szCs w:val="18"/>
        </w:rPr>
        <w:t>Wskazania do stosowania:</w:t>
      </w:r>
      <w:r w:rsidR="000D0DF6">
        <w:rPr>
          <w:b/>
          <w:bCs/>
          <w:sz w:val="18"/>
          <w:szCs w:val="18"/>
        </w:rPr>
        <w:t xml:space="preserve"> </w:t>
      </w:r>
      <w:r w:rsidR="00E71ADF" w:rsidRPr="00E71ADF">
        <w:rPr>
          <w:bCs/>
          <w:sz w:val="18"/>
          <w:szCs w:val="18"/>
        </w:rPr>
        <w:t>zapobieganie krzywicy i osteomalacji u dzieci i dorosłych, profilaktyka niedoboru witaminy D u kobiet planujących ciążę, w ciąży i karmiących piersią w porozumieniu z lekarzem, zapobieganie niedoborowi witaminy D u dzieci i dorosłych, leczenie wspomagające osteoporozy u dorosłych.</w:t>
      </w:r>
      <w:r w:rsidR="00E71ADF">
        <w:rPr>
          <w:b/>
          <w:bCs/>
          <w:sz w:val="18"/>
          <w:szCs w:val="18"/>
        </w:rPr>
        <w:t xml:space="preserve"> </w:t>
      </w:r>
      <w:r w:rsidRPr="00BA60CD">
        <w:rPr>
          <w:b/>
          <w:bCs/>
          <w:sz w:val="18"/>
          <w:szCs w:val="18"/>
        </w:rPr>
        <w:t xml:space="preserve">Dawkowanie i sposób podawania: </w:t>
      </w:r>
      <w:r w:rsidR="00E71ADF" w:rsidRPr="00E71ADF">
        <w:rPr>
          <w:bCs/>
          <w:sz w:val="18"/>
          <w:szCs w:val="18"/>
        </w:rPr>
        <w:t>Bez nadzoru lekarza nie należy stosować jednocześnie innych leków czy suplementów diety oraz innego rodzaju środków spożywczych zawierających witaminę D (cholekalcyferol), kalcytriol lub inne me</w:t>
      </w:r>
      <w:r w:rsidR="00E71ADF">
        <w:rPr>
          <w:bCs/>
          <w:sz w:val="18"/>
          <w:szCs w:val="18"/>
        </w:rPr>
        <w:t xml:space="preserve">tabolity i analogi witaminy D. </w:t>
      </w:r>
      <w:r w:rsidR="00E71ADF" w:rsidRPr="00E71ADF">
        <w:rPr>
          <w:bCs/>
          <w:sz w:val="18"/>
          <w:szCs w:val="18"/>
        </w:rPr>
        <w:t>Bez nadzoru lekarza nie należy stosować produktu leczniczego długotrwale (powyżej 3 miesięcy) lub w d</w:t>
      </w:r>
      <w:r w:rsidR="00E71ADF">
        <w:rPr>
          <w:bCs/>
          <w:sz w:val="18"/>
          <w:szCs w:val="18"/>
        </w:rPr>
        <w:t xml:space="preserve">awkach większych niż zalecane. </w:t>
      </w:r>
      <w:r w:rsidR="00E71ADF" w:rsidRPr="00E71ADF">
        <w:rPr>
          <w:bCs/>
          <w:sz w:val="18"/>
          <w:szCs w:val="18"/>
        </w:rPr>
        <w:t xml:space="preserve">Produkt leczniczy Vigalex Forte przeznaczony jest do stosowania u pacjentów w wieku od </w:t>
      </w:r>
      <w:r w:rsidR="00E71ADF">
        <w:rPr>
          <w:bCs/>
          <w:sz w:val="18"/>
          <w:szCs w:val="18"/>
        </w:rPr>
        <w:t xml:space="preserve">11 lat z prawidłową masą ciała. </w:t>
      </w:r>
      <w:r w:rsidR="00E71ADF" w:rsidRPr="00E71ADF">
        <w:rPr>
          <w:bCs/>
          <w:sz w:val="18"/>
          <w:szCs w:val="18"/>
          <w:u w:val="single"/>
        </w:rPr>
        <w:t>Zapobieganie niedoborowi witaminy D u dzieci i dorosłych</w:t>
      </w:r>
      <w:r w:rsidR="00E71ADF">
        <w:rPr>
          <w:bCs/>
          <w:sz w:val="18"/>
          <w:szCs w:val="18"/>
        </w:rPr>
        <w:t xml:space="preserve">: </w:t>
      </w:r>
      <w:r w:rsidR="00E71ADF" w:rsidRPr="00E71ADF">
        <w:rPr>
          <w:bCs/>
          <w:sz w:val="18"/>
          <w:szCs w:val="18"/>
        </w:rPr>
        <w:t>Dzieci</w:t>
      </w:r>
      <w:r w:rsidR="00E71ADF">
        <w:rPr>
          <w:bCs/>
          <w:sz w:val="18"/>
          <w:szCs w:val="18"/>
        </w:rPr>
        <w:t xml:space="preserve"> od 6 do 10 lat: 1000 IU/dobę. </w:t>
      </w:r>
      <w:r w:rsidR="00E71ADF" w:rsidRPr="00E71ADF">
        <w:rPr>
          <w:bCs/>
          <w:sz w:val="18"/>
          <w:szCs w:val="18"/>
        </w:rPr>
        <w:t>Młodzież od 11 d</w:t>
      </w:r>
      <w:r w:rsidR="00E71ADF">
        <w:rPr>
          <w:bCs/>
          <w:sz w:val="18"/>
          <w:szCs w:val="18"/>
        </w:rPr>
        <w:t xml:space="preserve">o 18 lat: 1000 do 2000 IU/dobę. Dorośli: 1000 - 2000 IU/dobę. </w:t>
      </w:r>
      <w:r w:rsidR="00E71ADF" w:rsidRPr="00E71ADF">
        <w:rPr>
          <w:bCs/>
          <w:sz w:val="18"/>
          <w:szCs w:val="18"/>
          <w:u w:val="single"/>
        </w:rPr>
        <w:t>Profilaktyka niedoboru witaminy D u kobiet planujących ciążę, w ciąży i karmiących pi</w:t>
      </w:r>
      <w:r w:rsidR="00E71ADF">
        <w:rPr>
          <w:bCs/>
          <w:sz w:val="18"/>
          <w:szCs w:val="18"/>
          <w:u w:val="single"/>
        </w:rPr>
        <w:t xml:space="preserve">ersią w porozumieniu z lekarzem: </w:t>
      </w:r>
      <w:r w:rsidR="00E71ADF">
        <w:rPr>
          <w:bCs/>
          <w:sz w:val="18"/>
          <w:szCs w:val="18"/>
        </w:rPr>
        <w:t>z</w:t>
      </w:r>
      <w:r w:rsidR="00E71ADF" w:rsidRPr="00E71ADF">
        <w:rPr>
          <w:bCs/>
          <w:sz w:val="18"/>
          <w:szCs w:val="18"/>
        </w:rPr>
        <w:t>azwyczaj zalecana dawka to 2000 IU na dobę, niezależnie od pory roku, chyba, że lekarz</w:t>
      </w:r>
      <w:r w:rsidR="00E71ADF">
        <w:rPr>
          <w:bCs/>
          <w:sz w:val="18"/>
          <w:szCs w:val="18"/>
        </w:rPr>
        <w:t xml:space="preserve"> zaleci inny sposób dawkowania.</w:t>
      </w:r>
      <w:r w:rsidR="00CD51C2">
        <w:rPr>
          <w:bCs/>
          <w:sz w:val="18"/>
          <w:szCs w:val="18"/>
        </w:rPr>
        <w:t xml:space="preserve"> </w:t>
      </w:r>
      <w:r w:rsidR="00E71ADF" w:rsidRPr="00E71ADF">
        <w:rPr>
          <w:bCs/>
          <w:sz w:val="18"/>
          <w:szCs w:val="18"/>
        </w:rPr>
        <w:t xml:space="preserve">W czasie ciąży kobiety powinny stosować się do zaleceń lekarza prowadzącego, ponieważ ich zapotrzebowanie na witaminę D może różnić się w zależności od </w:t>
      </w:r>
      <w:r w:rsidR="00E71ADF">
        <w:rPr>
          <w:bCs/>
          <w:sz w:val="18"/>
          <w:szCs w:val="18"/>
        </w:rPr>
        <w:t>zasobów ustrojowych witaminy D.</w:t>
      </w:r>
      <w:r w:rsidR="00CD51C2">
        <w:rPr>
          <w:bCs/>
          <w:sz w:val="18"/>
          <w:szCs w:val="18"/>
        </w:rPr>
        <w:t xml:space="preserve"> </w:t>
      </w:r>
      <w:r w:rsidR="00E71ADF" w:rsidRPr="00E71ADF">
        <w:rPr>
          <w:bCs/>
          <w:sz w:val="18"/>
          <w:szCs w:val="18"/>
          <w:u w:val="single"/>
        </w:rPr>
        <w:t>Zapobieganie krzywicy i osteomalacji u dzieci i dorosłych</w:t>
      </w:r>
      <w:r w:rsidR="00E71ADF">
        <w:rPr>
          <w:bCs/>
          <w:sz w:val="18"/>
          <w:szCs w:val="18"/>
          <w:u w:val="single"/>
        </w:rPr>
        <w:t>:</w:t>
      </w:r>
      <w:r w:rsidR="00E71ADF">
        <w:rPr>
          <w:bCs/>
          <w:sz w:val="18"/>
          <w:szCs w:val="18"/>
        </w:rPr>
        <w:t xml:space="preserve"> d</w:t>
      </w:r>
      <w:r w:rsidR="00E71ADF" w:rsidRPr="00E71ADF">
        <w:rPr>
          <w:bCs/>
          <w:sz w:val="18"/>
          <w:szCs w:val="18"/>
        </w:rPr>
        <w:t>zieci</w:t>
      </w:r>
      <w:r w:rsidR="00E71ADF">
        <w:rPr>
          <w:bCs/>
          <w:sz w:val="18"/>
          <w:szCs w:val="18"/>
        </w:rPr>
        <w:t xml:space="preserve"> od 6 do 10 lat: 1000 IU/dobę. </w:t>
      </w:r>
      <w:r w:rsidR="00E71ADF" w:rsidRPr="00E71ADF">
        <w:rPr>
          <w:bCs/>
          <w:sz w:val="18"/>
          <w:szCs w:val="18"/>
        </w:rPr>
        <w:t>Młodzież</w:t>
      </w:r>
      <w:r w:rsidR="00E71ADF">
        <w:rPr>
          <w:bCs/>
          <w:sz w:val="18"/>
          <w:szCs w:val="18"/>
        </w:rPr>
        <w:t xml:space="preserve"> od 11 do 18 lat: 2000 IU/dobę. Dorośli: 2000 IU/dobę. </w:t>
      </w:r>
      <w:r w:rsidR="00E71ADF" w:rsidRPr="00E71ADF">
        <w:rPr>
          <w:bCs/>
          <w:sz w:val="18"/>
          <w:szCs w:val="18"/>
          <w:u w:val="single"/>
        </w:rPr>
        <w:t>Leczenie wspomagające osteoporozy u dorosłych</w:t>
      </w:r>
      <w:r w:rsidR="00E71ADF">
        <w:rPr>
          <w:bCs/>
          <w:sz w:val="18"/>
          <w:szCs w:val="18"/>
        </w:rPr>
        <w:t xml:space="preserve"> Dorośli: 2000 do 4000 IU/dobę. </w:t>
      </w:r>
      <w:r w:rsidR="00E71ADF" w:rsidRPr="00E71ADF">
        <w:rPr>
          <w:bCs/>
          <w:sz w:val="18"/>
          <w:szCs w:val="18"/>
          <w:u w:val="single"/>
        </w:rPr>
        <w:t>Pacjenci z niewydolnością nerek</w:t>
      </w:r>
      <w:r w:rsidR="00E71ADF">
        <w:rPr>
          <w:bCs/>
          <w:sz w:val="18"/>
          <w:szCs w:val="18"/>
          <w:u w:val="single"/>
        </w:rPr>
        <w:t>:</w:t>
      </w:r>
      <w:r w:rsidR="00CD51C2">
        <w:rPr>
          <w:bCs/>
          <w:sz w:val="18"/>
          <w:szCs w:val="18"/>
        </w:rPr>
        <w:t xml:space="preserve"> </w:t>
      </w:r>
      <w:r w:rsidR="00E71ADF">
        <w:rPr>
          <w:bCs/>
          <w:sz w:val="18"/>
          <w:szCs w:val="18"/>
        </w:rPr>
        <w:t>p</w:t>
      </w:r>
      <w:r w:rsidR="00E71ADF" w:rsidRPr="00E71ADF">
        <w:rPr>
          <w:bCs/>
          <w:sz w:val="18"/>
          <w:szCs w:val="18"/>
        </w:rPr>
        <w:t>roduktu nie należy stosować u pacjentów z niewydolnością nerek bez ko</w:t>
      </w:r>
      <w:r w:rsidR="00E71ADF">
        <w:rPr>
          <w:bCs/>
          <w:sz w:val="18"/>
          <w:szCs w:val="18"/>
        </w:rPr>
        <w:t xml:space="preserve">ntroli lekarza. </w:t>
      </w:r>
      <w:r w:rsidR="00E71ADF" w:rsidRPr="00E71ADF">
        <w:rPr>
          <w:bCs/>
          <w:sz w:val="18"/>
          <w:szCs w:val="18"/>
          <w:u w:val="single"/>
        </w:rPr>
        <w:t>Pacjenci z niewydolnością wątroby</w:t>
      </w:r>
      <w:r w:rsidR="00CD51C2">
        <w:rPr>
          <w:bCs/>
          <w:sz w:val="18"/>
          <w:szCs w:val="18"/>
        </w:rPr>
        <w:t xml:space="preserve"> </w:t>
      </w:r>
      <w:r w:rsidR="00E71ADF">
        <w:rPr>
          <w:bCs/>
          <w:sz w:val="18"/>
          <w:szCs w:val="18"/>
        </w:rPr>
        <w:t>n</w:t>
      </w:r>
      <w:r w:rsidR="00E71ADF" w:rsidRPr="00E71ADF">
        <w:rPr>
          <w:bCs/>
          <w:sz w:val="18"/>
          <w:szCs w:val="18"/>
        </w:rPr>
        <w:t xml:space="preserve">ie jest konieczna </w:t>
      </w:r>
      <w:r w:rsidR="00E71ADF">
        <w:rPr>
          <w:bCs/>
          <w:sz w:val="18"/>
          <w:szCs w:val="18"/>
        </w:rPr>
        <w:t xml:space="preserve">modyfikacja dawki. </w:t>
      </w:r>
      <w:r w:rsidR="00E71ADF" w:rsidRPr="00E71ADF">
        <w:rPr>
          <w:bCs/>
          <w:sz w:val="18"/>
          <w:szCs w:val="18"/>
          <w:u w:val="single"/>
        </w:rPr>
        <w:t>Dzieci w wieku poniżej 6 lat</w:t>
      </w:r>
      <w:r w:rsidR="00E71ADF">
        <w:rPr>
          <w:bCs/>
          <w:sz w:val="18"/>
          <w:szCs w:val="18"/>
          <w:u w:val="single"/>
        </w:rPr>
        <w:t>:</w:t>
      </w:r>
      <w:r w:rsidR="00E71ADF">
        <w:rPr>
          <w:bCs/>
          <w:sz w:val="18"/>
          <w:szCs w:val="18"/>
        </w:rPr>
        <w:t xml:space="preserve"> n</w:t>
      </w:r>
      <w:r w:rsidR="00E71ADF" w:rsidRPr="00E71ADF">
        <w:rPr>
          <w:bCs/>
          <w:sz w:val="18"/>
          <w:szCs w:val="18"/>
        </w:rPr>
        <w:t>ie jest zalecane podawanie dzieciom w wieku poniżej 6 lat ze wzg</w:t>
      </w:r>
      <w:r w:rsidR="00E71ADF">
        <w:rPr>
          <w:bCs/>
          <w:sz w:val="18"/>
          <w:szCs w:val="18"/>
        </w:rPr>
        <w:t xml:space="preserve">lędu na postać leku (tabletki). </w:t>
      </w:r>
      <w:r w:rsidR="00E71ADF" w:rsidRPr="00E71ADF">
        <w:rPr>
          <w:bCs/>
          <w:sz w:val="18"/>
          <w:szCs w:val="18"/>
          <w:u w:val="single"/>
        </w:rPr>
        <w:t>Dzieci w wieku powyżej 6 lat</w:t>
      </w:r>
      <w:r w:rsidR="00E71ADF">
        <w:rPr>
          <w:bCs/>
          <w:sz w:val="18"/>
          <w:szCs w:val="18"/>
          <w:u w:val="single"/>
        </w:rPr>
        <w:t>:</w:t>
      </w:r>
      <w:r w:rsidR="00E71ADF">
        <w:rPr>
          <w:bCs/>
          <w:sz w:val="18"/>
          <w:szCs w:val="18"/>
        </w:rPr>
        <w:t xml:space="preserve"> </w:t>
      </w:r>
      <w:r w:rsidR="00E71ADF" w:rsidRPr="00E71ADF">
        <w:rPr>
          <w:bCs/>
          <w:sz w:val="18"/>
          <w:szCs w:val="18"/>
        </w:rPr>
        <w:t>Produkt leczniczy Vigalex Forte przeznaczony jest dla dzieci od 11 roku życia z prawidłową</w:t>
      </w:r>
      <w:r w:rsidR="00E71ADF">
        <w:rPr>
          <w:bCs/>
          <w:sz w:val="18"/>
          <w:szCs w:val="18"/>
        </w:rPr>
        <w:t xml:space="preserve"> masą ciała. </w:t>
      </w:r>
      <w:r w:rsidR="00E71ADF" w:rsidRPr="00E71ADF">
        <w:rPr>
          <w:bCs/>
          <w:sz w:val="18"/>
          <w:szCs w:val="18"/>
          <w:u w:val="single"/>
        </w:rPr>
        <w:t>Sposób podawania</w:t>
      </w:r>
      <w:r w:rsidR="00E71ADF">
        <w:rPr>
          <w:bCs/>
          <w:sz w:val="18"/>
          <w:szCs w:val="18"/>
          <w:u w:val="single"/>
        </w:rPr>
        <w:t>:</w:t>
      </w:r>
      <w:r w:rsidR="00E71ADF" w:rsidRPr="00E71ADF">
        <w:rPr>
          <w:bCs/>
          <w:sz w:val="18"/>
          <w:szCs w:val="18"/>
          <w:u w:val="single"/>
        </w:rPr>
        <w:t xml:space="preserve"> </w:t>
      </w:r>
      <w:r w:rsidR="00E71ADF">
        <w:rPr>
          <w:bCs/>
          <w:sz w:val="18"/>
          <w:szCs w:val="18"/>
        </w:rPr>
        <w:t>n</w:t>
      </w:r>
      <w:r w:rsidR="00E71ADF" w:rsidRPr="00E71ADF">
        <w:rPr>
          <w:bCs/>
          <w:sz w:val="18"/>
          <w:szCs w:val="18"/>
        </w:rPr>
        <w:t xml:space="preserve">ależy zażyć tabletkę popijając wystarczającą ilością płynu. </w:t>
      </w:r>
      <w:r w:rsidRPr="00BA60CD">
        <w:rPr>
          <w:b/>
          <w:bCs/>
          <w:sz w:val="18"/>
          <w:szCs w:val="18"/>
        </w:rPr>
        <w:t>Przeciwwskazania:</w:t>
      </w:r>
      <w:r w:rsidR="00DA1B0E" w:rsidRPr="00DA1B0E">
        <w:t xml:space="preserve"> </w:t>
      </w:r>
      <w:r w:rsidR="00464949">
        <w:rPr>
          <w:sz w:val="18"/>
          <w:szCs w:val="18"/>
        </w:rPr>
        <w:t>n</w:t>
      </w:r>
      <w:r w:rsidR="0022729D" w:rsidRPr="0022729D">
        <w:rPr>
          <w:sz w:val="18"/>
          <w:szCs w:val="18"/>
        </w:rPr>
        <w:t>adwrażliwość na substancję czynną (cholekalcyferol) lub na którąkolwiek substancję pom</w:t>
      </w:r>
      <w:r w:rsidR="0022729D">
        <w:rPr>
          <w:sz w:val="18"/>
          <w:szCs w:val="18"/>
        </w:rPr>
        <w:t>ocniczą, h</w:t>
      </w:r>
      <w:r w:rsidR="0022729D" w:rsidRPr="0022729D">
        <w:rPr>
          <w:sz w:val="18"/>
          <w:szCs w:val="18"/>
        </w:rPr>
        <w:t>iper</w:t>
      </w:r>
      <w:r w:rsidR="0022729D">
        <w:rPr>
          <w:sz w:val="18"/>
          <w:szCs w:val="18"/>
        </w:rPr>
        <w:t>kalcemia i (lub) hiperkalciuria, k</w:t>
      </w:r>
      <w:r w:rsidR="0022729D" w:rsidRPr="0022729D">
        <w:rPr>
          <w:sz w:val="18"/>
          <w:szCs w:val="18"/>
        </w:rPr>
        <w:t xml:space="preserve">amica nerkowa i </w:t>
      </w:r>
      <w:r w:rsidR="0022729D">
        <w:rPr>
          <w:sz w:val="18"/>
          <w:szCs w:val="18"/>
        </w:rPr>
        <w:t>(lub) ciężka niewydolność nerek, r</w:t>
      </w:r>
      <w:r w:rsidR="0022729D" w:rsidRPr="0022729D">
        <w:rPr>
          <w:sz w:val="18"/>
          <w:szCs w:val="18"/>
        </w:rPr>
        <w:t xml:space="preserve">zekoma niedoczynność przytarczyc (zapotrzebowanie na witaminę D może być obniżone z powodu okresów prawidłowej wrażliwości na tę witaminę, </w:t>
      </w:r>
      <w:r w:rsidR="0022729D">
        <w:rPr>
          <w:sz w:val="18"/>
          <w:szCs w:val="18"/>
        </w:rPr>
        <w:t>prowadzących do przedawkowania), w</w:t>
      </w:r>
      <w:r w:rsidR="0022729D" w:rsidRPr="0022729D">
        <w:rPr>
          <w:sz w:val="18"/>
          <w:szCs w:val="18"/>
        </w:rPr>
        <w:t xml:space="preserve"> tym przypadku dostępne są pochodne witamin</w:t>
      </w:r>
      <w:r w:rsidR="0022729D">
        <w:rPr>
          <w:sz w:val="18"/>
          <w:szCs w:val="18"/>
        </w:rPr>
        <w:t>y D łatwiejsze do kontrolowania,</w:t>
      </w:r>
      <w:r w:rsidR="00F409F0">
        <w:rPr>
          <w:sz w:val="18"/>
          <w:szCs w:val="18"/>
        </w:rPr>
        <w:t xml:space="preserve"> </w:t>
      </w:r>
      <w:r w:rsidR="0022729D">
        <w:rPr>
          <w:sz w:val="18"/>
          <w:szCs w:val="18"/>
        </w:rPr>
        <w:t>d</w:t>
      </w:r>
      <w:r w:rsidR="0022729D" w:rsidRPr="0022729D">
        <w:rPr>
          <w:sz w:val="18"/>
          <w:szCs w:val="18"/>
        </w:rPr>
        <w:t>zieci i młodzież w wieku poniżej 18 lat.</w:t>
      </w:r>
      <w:r w:rsidR="0022729D">
        <w:rPr>
          <w:b/>
          <w:bCs/>
          <w:iCs/>
          <w:sz w:val="18"/>
          <w:szCs w:val="18"/>
        </w:rPr>
        <w:t xml:space="preserve"> </w:t>
      </w:r>
      <w:r w:rsidR="00154A11" w:rsidRPr="00BA60CD">
        <w:rPr>
          <w:b/>
          <w:bCs/>
          <w:iCs/>
          <w:sz w:val="18"/>
          <w:szCs w:val="18"/>
        </w:rPr>
        <w:t>Specjalne ostrzeżenia i środki ostrożności dotyczące stosowania:</w:t>
      </w:r>
      <w:r w:rsidR="00154A11" w:rsidRPr="00CD51C2">
        <w:t xml:space="preserve"> </w:t>
      </w:r>
      <w:r w:rsidR="00154A11" w:rsidRPr="00CD51C2">
        <w:rPr>
          <w:bCs/>
          <w:iCs/>
          <w:sz w:val="18"/>
          <w:szCs w:val="18"/>
        </w:rPr>
        <w:t>Na całkowitą dawkę witaminy D u pacjentów składa się zawartość witaminy D w innych przyjmowanych produktach leczniczych i spożywanych pokarmach bogatych w witaminę D oraz witamina wytwarzana przez organizm w wyniku ekspozycji na promieniowanie słoneczne.</w:t>
      </w:r>
      <w:r w:rsidR="00154A11">
        <w:rPr>
          <w:bCs/>
          <w:sz w:val="18"/>
          <w:szCs w:val="18"/>
        </w:rPr>
        <w:t xml:space="preserve"> </w:t>
      </w:r>
      <w:r w:rsidR="00154A11" w:rsidRPr="00CD51C2">
        <w:rPr>
          <w:bCs/>
          <w:iCs/>
          <w:sz w:val="18"/>
          <w:szCs w:val="18"/>
        </w:rPr>
        <w:t>W Polsce dostateczna ekspozycja na światło słoneczne jest możliwa tylko w okresie od maja do września i wymaga co najmniej 15-minutowego przebywania na słońcu dziennie w godzinach od 10.00 do 15.00, z odkrytymi przedramionami i podudziami, bez używania krem</w:t>
      </w:r>
      <w:r w:rsidR="00154A11">
        <w:rPr>
          <w:bCs/>
          <w:iCs/>
          <w:sz w:val="18"/>
          <w:szCs w:val="18"/>
        </w:rPr>
        <w:t xml:space="preserve">ów z filtrami UV. </w:t>
      </w:r>
      <w:r w:rsidR="00154A11" w:rsidRPr="00CD51C2">
        <w:rPr>
          <w:bCs/>
          <w:iCs/>
          <w:sz w:val="18"/>
          <w:szCs w:val="18"/>
        </w:rPr>
        <w:t>Dodatkowe dawki witaminy D lub wapnia mogą być stosowane wyłącznie pod nadzorem lekarza. W takich przypadkach należy kontrolować stężeni</w:t>
      </w:r>
      <w:r w:rsidR="00154A11">
        <w:rPr>
          <w:bCs/>
          <w:iCs/>
          <w:sz w:val="18"/>
          <w:szCs w:val="18"/>
        </w:rPr>
        <w:t xml:space="preserve">a wapnia w surowicy i w moczu. </w:t>
      </w:r>
      <w:r w:rsidR="00154A11" w:rsidRPr="00CD51C2">
        <w:rPr>
          <w:bCs/>
          <w:iCs/>
          <w:sz w:val="18"/>
          <w:szCs w:val="18"/>
        </w:rPr>
        <w:t>U pacjentó</w:t>
      </w:r>
      <w:r w:rsidR="00154A11">
        <w:rPr>
          <w:bCs/>
          <w:iCs/>
          <w:sz w:val="18"/>
          <w:szCs w:val="18"/>
        </w:rPr>
        <w:t>w chorych na sarkoidozę produkt leczniczy</w:t>
      </w:r>
      <w:r w:rsidR="00154A11" w:rsidRPr="00CD51C2">
        <w:rPr>
          <w:bCs/>
          <w:iCs/>
          <w:sz w:val="18"/>
          <w:szCs w:val="18"/>
        </w:rPr>
        <w:t xml:space="preserve"> </w:t>
      </w:r>
      <w:r w:rsidR="00154A11">
        <w:rPr>
          <w:bCs/>
          <w:iCs/>
          <w:sz w:val="18"/>
          <w:szCs w:val="18"/>
        </w:rPr>
        <w:t>Vigalex Forte</w:t>
      </w:r>
      <w:r w:rsidR="00154A11" w:rsidRPr="00CD51C2">
        <w:rPr>
          <w:bCs/>
          <w:iCs/>
          <w:sz w:val="18"/>
          <w:szCs w:val="18"/>
        </w:rPr>
        <w:t xml:space="preserve"> </w:t>
      </w:r>
      <w:r w:rsidR="00154A11">
        <w:rPr>
          <w:bCs/>
          <w:iCs/>
          <w:sz w:val="18"/>
          <w:szCs w:val="18"/>
        </w:rPr>
        <w:t>powinien</w:t>
      </w:r>
      <w:r w:rsidR="00154A11" w:rsidRPr="00CD51C2">
        <w:rPr>
          <w:bCs/>
          <w:iCs/>
          <w:sz w:val="18"/>
          <w:szCs w:val="18"/>
        </w:rPr>
        <w:t xml:space="preserve"> być podawan</w:t>
      </w:r>
      <w:r w:rsidR="00154A11">
        <w:rPr>
          <w:bCs/>
          <w:iCs/>
          <w:sz w:val="18"/>
          <w:szCs w:val="18"/>
        </w:rPr>
        <w:t>y</w:t>
      </w:r>
      <w:r w:rsidR="00154A11" w:rsidRPr="00CD51C2">
        <w:rPr>
          <w:bCs/>
          <w:iCs/>
          <w:sz w:val="18"/>
          <w:szCs w:val="18"/>
        </w:rPr>
        <w:t xml:space="preserve"> wyłącznie z zachowaniem szczególnej ostrożności, ze względu na ryzyko nadmiernej przemiany witaminy D do aktywnych metabolitów. U tych pacjentów należy monitorować stężenie w</w:t>
      </w:r>
      <w:r w:rsidR="00154A11">
        <w:rPr>
          <w:bCs/>
          <w:iCs/>
          <w:sz w:val="18"/>
          <w:szCs w:val="18"/>
        </w:rPr>
        <w:t xml:space="preserve">apnia w surowicy oraz w moczu. </w:t>
      </w:r>
      <w:r w:rsidR="00154A11" w:rsidRPr="00CD51C2">
        <w:rPr>
          <w:bCs/>
          <w:iCs/>
          <w:sz w:val="18"/>
          <w:szCs w:val="18"/>
        </w:rPr>
        <w:t>W przypadku pacjentów z zaburzeniami czyn</w:t>
      </w:r>
      <w:r w:rsidR="00154A11">
        <w:rPr>
          <w:bCs/>
          <w:iCs/>
          <w:sz w:val="18"/>
          <w:szCs w:val="18"/>
        </w:rPr>
        <w:t>ności nerek leczonych produktem leczniczym</w:t>
      </w:r>
      <w:r w:rsidR="00154A11" w:rsidRPr="00CD51C2">
        <w:rPr>
          <w:bCs/>
          <w:iCs/>
          <w:sz w:val="18"/>
          <w:szCs w:val="18"/>
        </w:rPr>
        <w:t xml:space="preserve"> </w:t>
      </w:r>
      <w:bookmarkStart w:id="0" w:name="_GoBack"/>
      <w:r w:rsidR="00154A11">
        <w:rPr>
          <w:bCs/>
          <w:iCs/>
          <w:sz w:val="18"/>
          <w:szCs w:val="18"/>
        </w:rPr>
        <w:t>Vigalex Forte</w:t>
      </w:r>
      <w:bookmarkEnd w:id="0"/>
      <w:r w:rsidR="00154A11" w:rsidRPr="00CD51C2">
        <w:rPr>
          <w:bCs/>
          <w:iCs/>
          <w:sz w:val="18"/>
          <w:szCs w:val="18"/>
        </w:rPr>
        <w:t xml:space="preserve"> należy kontrolować </w:t>
      </w:r>
      <w:r w:rsidR="00154A11">
        <w:rPr>
          <w:bCs/>
          <w:iCs/>
          <w:sz w:val="18"/>
          <w:szCs w:val="18"/>
        </w:rPr>
        <w:t>metabolizm wapnia i fosforanów. Produkt</w:t>
      </w:r>
      <w:r w:rsidR="00154A11" w:rsidRPr="00CD51C2">
        <w:rPr>
          <w:bCs/>
          <w:iCs/>
          <w:sz w:val="18"/>
          <w:szCs w:val="18"/>
        </w:rPr>
        <w:t xml:space="preserve"> lecznicz</w:t>
      </w:r>
      <w:r w:rsidR="00154A11">
        <w:rPr>
          <w:bCs/>
          <w:iCs/>
          <w:sz w:val="18"/>
          <w:szCs w:val="18"/>
        </w:rPr>
        <w:t>y</w:t>
      </w:r>
      <w:r w:rsidR="00154A11" w:rsidRPr="00CD51C2">
        <w:rPr>
          <w:bCs/>
          <w:iCs/>
          <w:sz w:val="18"/>
          <w:szCs w:val="18"/>
        </w:rPr>
        <w:t xml:space="preserve"> </w:t>
      </w:r>
      <w:r w:rsidR="00154A11">
        <w:rPr>
          <w:bCs/>
          <w:iCs/>
          <w:sz w:val="18"/>
          <w:szCs w:val="18"/>
        </w:rPr>
        <w:t>Vigalex Forte</w:t>
      </w:r>
      <w:r w:rsidR="00154A11" w:rsidRPr="00CD51C2">
        <w:rPr>
          <w:bCs/>
          <w:iCs/>
          <w:sz w:val="18"/>
          <w:szCs w:val="18"/>
        </w:rPr>
        <w:t xml:space="preserve"> </w:t>
      </w:r>
      <w:r w:rsidR="00154A11">
        <w:rPr>
          <w:bCs/>
          <w:iCs/>
          <w:sz w:val="18"/>
          <w:szCs w:val="18"/>
        </w:rPr>
        <w:t>nie powinien</w:t>
      </w:r>
      <w:r w:rsidR="00154A11" w:rsidRPr="00CD51C2">
        <w:rPr>
          <w:bCs/>
          <w:iCs/>
          <w:sz w:val="18"/>
          <w:szCs w:val="18"/>
        </w:rPr>
        <w:t xml:space="preserve"> być stosowan</w:t>
      </w:r>
      <w:r w:rsidR="00154A11">
        <w:rPr>
          <w:bCs/>
          <w:iCs/>
          <w:sz w:val="18"/>
          <w:szCs w:val="18"/>
        </w:rPr>
        <w:t>y</w:t>
      </w:r>
      <w:r w:rsidR="00154A11" w:rsidRPr="00CD51C2">
        <w:rPr>
          <w:bCs/>
          <w:iCs/>
          <w:sz w:val="18"/>
          <w:szCs w:val="18"/>
        </w:rPr>
        <w:t xml:space="preserve"> u niemowląt i dzieci w wieku poniżej 6 lat z powodu możliwej nieumiejętności połknięcia tabletek</w:t>
      </w:r>
      <w:r w:rsidR="00154A11">
        <w:rPr>
          <w:bCs/>
          <w:iCs/>
          <w:sz w:val="18"/>
          <w:szCs w:val="18"/>
        </w:rPr>
        <w:t xml:space="preserve"> i możliwości zadławienia się. </w:t>
      </w:r>
      <w:r w:rsidR="00154A11" w:rsidRPr="00CD51C2">
        <w:rPr>
          <w:bCs/>
          <w:iCs/>
          <w:sz w:val="18"/>
          <w:szCs w:val="18"/>
        </w:rPr>
        <w:t>Pacjenci z otyłością (dorośli - BMI ≥ 30 kg/m2 pc., dzieci, młodzież - BMI &gt; 90. centyla) wymagają dwukrotnie większej dawki witaminy D niż zalecana rówieśn</w:t>
      </w:r>
      <w:r w:rsidR="00154A11">
        <w:rPr>
          <w:bCs/>
          <w:iCs/>
          <w:sz w:val="18"/>
          <w:szCs w:val="18"/>
        </w:rPr>
        <w:t xml:space="preserve">ikom o prawidłowej masie ciała. </w:t>
      </w:r>
      <w:r w:rsidR="00154A11" w:rsidRPr="00CD51C2">
        <w:rPr>
          <w:bCs/>
          <w:iCs/>
          <w:sz w:val="18"/>
          <w:szCs w:val="18"/>
        </w:rPr>
        <w:t>W razie długotrwałego stosowania cholekalcyferolu, zwłaszcza w dawce dobowej przekraczającej 1000 IU, należy monitorować stężenie wapnia w surowicy i w moczu oraz kontrolować czynność nerek przez pomiar stężenia kreatyniny. Jest to szczególnie ważne w przypadku pacjentów w podeszłym wieku oraz przy jednoczesnym leczeniu glikozydami nasercow</w:t>
      </w:r>
      <w:r w:rsidR="00154A11">
        <w:rPr>
          <w:bCs/>
          <w:iCs/>
          <w:sz w:val="18"/>
          <w:szCs w:val="18"/>
        </w:rPr>
        <w:t xml:space="preserve">ymi czy środkami moczopędnymi. </w:t>
      </w:r>
      <w:r w:rsidR="00154A11" w:rsidRPr="00CD51C2">
        <w:rPr>
          <w:bCs/>
          <w:iCs/>
          <w:sz w:val="18"/>
          <w:szCs w:val="18"/>
        </w:rPr>
        <w:t>W przypadku hiperkalcemii lub oznak zaburzenia czynności nerek należy zmniejszyć dawkę lub przerwać leczenie. Zaleca się zmniejszenie dawki lub przerwanie leczenia, jeśli dobowe wydalanie wapnia w moczu przekroczy 7,5 mmol/</w:t>
      </w:r>
      <w:r w:rsidR="00154A11">
        <w:rPr>
          <w:bCs/>
          <w:iCs/>
          <w:sz w:val="18"/>
          <w:szCs w:val="18"/>
        </w:rPr>
        <w:t xml:space="preserve">24 godziny (300 mg/24 godziny). </w:t>
      </w:r>
      <w:r w:rsidR="00154A11" w:rsidRPr="00CD51C2">
        <w:rPr>
          <w:bCs/>
          <w:iCs/>
          <w:sz w:val="18"/>
          <w:szCs w:val="18"/>
        </w:rPr>
        <w:t xml:space="preserve">Lek zawiera mniej niż 1 mmol (23 mg) sodu w zalecanej jednostce dawkowania, to znaczy, że lek uznaje </w:t>
      </w:r>
      <w:r w:rsidR="00154A11">
        <w:rPr>
          <w:bCs/>
          <w:iCs/>
          <w:sz w:val="18"/>
          <w:szCs w:val="18"/>
        </w:rPr>
        <w:t xml:space="preserve">się za „wolny od sodu”. </w:t>
      </w:r>
      <w:r w:rsidR="00154A11" w:rsidRPr="00CD51C2">
        <w:rPr>
          <w:bCs/>
          <w:iCs/>
          <w:sz w:val="18"/>
          <w:szCs w:val="18"/>
        </w:rPr>
        <w:t xml:space="preserve">Produkt zawiera sacharozę. Pacjenci z rzadkimi dziedzicznymi zaburzeniami związanymi z nietolerancją fruktozy, zespołem złego wchłaniania glukozy-galaktozy lub niedoborem sacharazy-izomaltazy, nie powinni przyjmować produktu leczniczego. </w:t>
      </w:r>
      <w:r w:rsidR="00154A11" w:rsidRPr="00BA60CD">
        <w:rPr>
          <w:b/>
          <w:bCs/>
          <w:sz w:val="18"/>
          <w:szCs w:val="18"/>
        </w:rPr>
        <w:t>Interakcje z innymi lekami i inne formy interakcji:</w:t>
      </w:r>
      <w:r w:rsidR="00154A11" w:rsidRPr="0022729D">
        <w:rPr>
          <w:bCs/>
          <w:sz w:val="18"/>
          <w:szCs w:val="18"/>
        </w:rPr>
        <w:t xml:space="preserve"> </w:t>
      </w:r>
      <w:r w:rsidR="00154A11" w:rsidRPr="00CD51C2">
        <w:rPr>
          <w:bCs/>
          <w:sz w:val="18"/>
          <w:szCs w:val="18"/>
        </w:rPr>
        <w:t xml:space="preserve">Stosowanie produktów zobojętniających zawierających glin razem z produktem </w:t>
      </w:r>
      <w:r w:rsidR="00154A11">
        <w:rPr>
          <w:bCs/>
          <w:sz w:val="18"/>
          <w:szCs w:val="18"/>
        </w:rPr>
        <w:t>Vigalex Forte</w:t>
      </w:r>
      <w:r w:rsidR="00154A11" w:rsidRPr="00CD51C2">
        <w:rPr>
          <w:bCs/>
          <w:sz w:val="18"/>
          <w:szCs w:val="18"/>
        </w:rPr>
        <w:t xml:space="preserve"> może prowadzić do zwiększenia stężenia glinu w krwi, nasilając ryzyko toksycz</w:t>
      </w:r>
      <w:r w:rsidR="00154A11">
        <w:rPr>
          <w:bCs/>
          <w:sz w:val="18"/>
          <w:szCs w:val="18"/>
        </w:rPr>
        <w:t xml:space="preserve">nego działania glinu na kości. </w:t>
      </w:r>
      <w:r w:rsidR="00154A11" w:rsidRPr="00CD51C2">
        <w:rPr>
          <w:bCs/>
          <w:sz w:val="18"/>
          <w:szCs w:val="18"/>
        </w:rPr>
        <w:t>Produkty zobojętniające, zawierające magnez, podawane równocześnie z witaminą D, mogą zwięk</w:t>
      </w:r>
      <w:r w:rsidR="00154A11">
        <w:rPr>
          <w:bCs/>
          <w:sz w:val="18"/>
          <w:szCs w:val="18"/>
        </w:rPr>
        <w:t xml:space="preserve">szać stężenie magnezu we krwi. </w:t>
      </w:r>
      <w:r w:rsidR="00154A11" w:rsidRPr="00CD51C2">
        <w:rPr>
          <w:bCs/>
          <w:sz w:val="18"/>
          <w:szCs w:val="18"/>
        </w:rPr>
        <w:t>Fenytoina i barbiturany mogą obniżać skuteczność działania witaminy D. Stężenia 25-hydroksy-witaminy D mogą się zmniejszyć, a metabolizm do nieaktywnych metabolitów m</w:t>
      </w:r>
      <w:r w:rsidR="00154A11">
        <w:rPr>
          <w:bCs/>
          <w:sz w:val="18"/>
          <w:szCs w:val="18"/>
        </w:rPr>
        <w:t xml:space="preserve">oże ulec nasileniu. </w:t>
      </w:r>
      <w:r w:rsidR="00154A11" w:rsidRPr="00CD51C2">
        <w:rPr>
          <w:bCs/>
          <w:sz w:val="18"/>
          <w:szCs w:val="18"/>
        </w:rPr>
        <w:t>Tiazydowe leki moczopędne mogą prowadzić do hiperkalcemii wywołanej zmniejszonym wydalaniem wapnia przez nerki. Podczas długotrwałego leczenia należy kontrolować stężeni</w:t>
      </w:r>
      <w:r w:rsidR="00154A11">
        <w:rPr>
          <w:bCs/>
          <w:sz w:val="18"/>
          <w:szCs w:val="18"/>
        </w:rPr>
        <w:t xml:space="preserve">e wapnia w surowicy i w moczu. </w:t>
      </w:r>
      <w:r w:rsidR="00154A11" w:rsidRPr="00CD51C2">
        <w:rPr>
          <w:bCs/>
          <w:sz w:val="18"/>
          <w:szCs w:val="18"/>
        </w:rPr>
        <w:t>Jednoczesne podawanie glikokortykosteroidów może zno</w:t>
      </w:r>
      <w:r w:rsidR="00154A11">
        <w:rPr>
          <w:bCs/>
          <w:sz w:val="18"/>
          <w:szCs w:val="18"/>
        </w:rPr>
        <w:t xml:space="preserve">sić działanie cholekalcyferolu. </w:t>
      </w:r>
      <w:r w:rsidR="00154A11" w:rsidRPr="00CD51C2">
        <w:rPr>
          <w:bCs/>
          <w:sz w:val="18"/>
          <w:szCs w:val="18"/>
        </w:rPr>
        <w:t>Naparstnica (glikozydy nasercowe): doustne podawanie witaminy D może nasilać działa</w:t>
      </w:r>
      <w:r w:rsidR="00154A11">
        <w:rPr>
          <w:bCs/>
          <w:sz w:val="18"/>
          <w:szCs w:val="18"/>
        </w:rPr>
        <w:t xml:space="preserve">nie i toksyczność naparstnicy. </w:t>
      </w:r>
      <w:r w:rsidR="00154A11" w:rsidRPr="00CD51C2">
        <w:rPr>
          <w:bCs/>
          <w:sz w:val="18"/>
          <w:szCs w:val="18"/>
        </w:rPr>
        <w:t>Podczas terapii witaminą D toksyczność glikozydów nasercowych może ulec nasileniu w wyniku zwiększonego stężenia wapnia (ryzyko rozwoju arytmii). Należy kontrolować stężenie wapnia w surowicy i w moczu pacjentów oraz przep</w:t>
      </w:r>
      <w:r w:rsidR="00154A11">
        <w:rPr>
          <w:bCs/>
          <w:sz w:val="18"/>
          <w:szCs w:val="18"/>
        </w:rPr>
        <w:t xml:space="preserve">rowadzać okresowe badania EKG.  </w:t>
      </w:r>
      <w:r w:rsidR="00154A11" w:rsidRPr="00CD51C2">
        <w:rPr>
          <w:bCs/>
          <w:sz w:val="18"/>
          <w:szCs w:val="18"/>
        </w:rPr>
        <w:t xml:space="preserve">Metabolity lub analogi witaminy D (np. kalcytriol): jednoczesne stosowanie z produktem </w:t>
      </w:r>
      <w:r w:rsidR="00154A11">
        <w:rPr>
          <w:bCs/>
          <w:sz w:val="18"/>
          <w:szCs w:val="18"/>
        </w:rPr>
        <w:t>Vigalex Forte</w:t>
      </w:r>
      <w:r w:rsidR="00154A11" w:rsidRPr="00CD51C2">
        <w:rPr>
          <w:bCs/>
          <w:sz w:val="18"/>
          <w:szCs w:val="18"/>
        </w:rPr>
        <w:t xml:space="preserve"> zaleca się tylko w wyjątkowych przypadkach i pod warunkiem kontroli stężeń wapnia w surowicy. Ryfampicyna i izoniazyd: mogą nasilać metabolizm witaminy D i zmniejszać jej skuteczność.</w:t>
      </w:r>
      <w:r w:rsidR="00154A11">
        <w:rPr>
          <w:bCs/>
          <w:sz w:val="18"/>
          <w:szCs w:val="18"/>
        </w:rPr>
        <w:t xml:space="preserve"> </w:t>
      </w:r>
      <w:r w:rsidR="00154A11" w:rsidRPr="00BA60CD">
        <w:rPr>
          <w:b/>
          <w:bCs/>
          <w:sz w:val="18"/>
          <w:szCs w:val="18"/>
        </w:rPr>
        <w:t>Wpływ na płodność, ciążę i laktację:</w:t>
      </w:r>
      <w:r w:rsidR="00154A11">
        <w:rPr>
          <w:b/>
          <w:bCs/>
          <w:sz w:val="18"/>
          <w:szCs w:val="18"/>
        </w:rPr>
        <w:t xml:space="preserve"> </w:t>
      </w:r>
      <w:r w:rsidR="00154A11" w:rsidRPr="00CD51C2">
        <w:rPr>
          <w:bCs/>
          <w:sz w:val="18"/>
          <w:szCs w:val="18"/>
          <w:u w:val="single"/>
        </w:rPr>
        <w:t>Ciąża:</w:t>
      </w:r>
      <w:r w:rsidR="00154A11">
        <w:rPr>
          <w:b/>
          <w:bCs/>
          <w:sz w:val="18"/>
          <w:szCs w:val="18"/>
        </w:rPr>
        <w:t xml:space="preserve"> </w:t>
      </w:r>
      <w:r w:rsidR="00154A11">
        <w:rPr>
          <w:bCs/>
          <w:sz w:val="18"/>
          <w:szCs w:val="18"/>
        </w:rPr>
        <w:t>k</w:t>
      </w:r>
      <w:r w:rsidR="00154A11" w:rsidRPr="00CD51C2">
        <w:rPr>
          <w:bCs/>
          <w:sz w:val="18"/>
          <w:szCs w:val="18"/>
        </w:rPr>
        <w:t>obiety w okresie prokreacji i planujące ciążę powinny mieć zagwarantowaną odpowiednią podaż witaminy D, taką jak w ogólnej populacji osób dorosłych, jeżeli to możliwe - pod kontrolą stężenia 25(OH)D w surowicy.</w:t>
      </w:r>
      <w:r w:rsidR="00154A11">
        <w:rPr>
          <w:b/>
          <w:bCs/>
          <w:sz w:val="18"/>
          <w:szCs w:val="18"/>
        </w:rPr>
        <w:t xml:space="preserve"> </w:t>
      </w:r>
      <w:r w:rsidR="00154A11" w:rsidRPr="00CD51C2">
        <w:rPr>
          <w:bCs/>
          <w:sz w:val="18"/>
          <w:szCs w:val="18"/>
        </w:rPr>
        <w:t>Po potwierdzeniu ciąży suplementacja powinna być prowadzona pod kontrolą 25(OH)D w surowicy, tak aby utrzymać stężenie optymalne w granicach &gt;30–50 ng/ml.</w:t>
      </w:r>
      <w:r w:rsidR="00154A11">
        <w:rPr>
          <w:b/>
          <w:bCs/>
          <w:sz w:val="18"/>
          <w:szCs w:val="18"/>
        </w:rPr>
        <w:t xml:space="preserve"> </w:t>
      </w:r>
      <w:r w:rsidR="00154A11" w:rsidRPr="00CD51C2">
        <w:rPr>
          <w:bCs/>
          <w:sz w:val="18"/>
          <w:szCs w:val="18"/>
        </w:rPr>
        <w:t xml:space="preserve">Jeżeli oznaczenie witaminy 25(OH)D </w:t>
      </w:r>
      <w:r w:rsidR="00154A11" w:rsidRPr="00CD51C2">
        <w:rPr>
          <w:bCs/>
          <w:sz w:val="18"/>
          <w:szCs w:val="18"/>
        </w:rPr>
        <w:lastRenderedPageBreak/>
        <w:t>nie jest możliwe, zalecane jest stosowanie witaminy D w dawce 2000 IU/dobę, przez cały okres ciąży.</w:t>
      </w:r>
      <w:r w:rsidR="00154A11">
        <w:rPr>
          <w:bCs/>
          <w:sz w:val="18"/>
          <w:szCs w:val="18"/>
        </w:rPr>
        <w:t xml:space="preserve"> </w:t>
      </w:r>
      <w:r w:rsidR="00154A11" w:rsidRPr="00CD51C2">
        <w:rPr>
          <w:bCs/>
          <w:sz w:val="18"/>
          <w:szCs w:val="18"/>
          <w:u w:val="single"/>
        </w:rPr>
        <w:t>Laktacja</w:t>
      </w:r>
      <w:r w:rsidR="00154A11">
        <w:rPr>
          <w:b/>
          <w:bCs/>
          <w:sz w:val="18"/>
          <w:szCs w:val="18"/>
        </w:rPr>
        <w:t xml:space="preserve">: </w:t>
      </w:r>
      <w:r w:rsidR="00154A11">
        <w:rPr>
          <w:bCs/>
          <w:sz w:val="18"/>
          <w:szCs w:val="18"/>
        </w:rPr>
        <w:t>w</w:t>
      </w:r>
      <w:r w:rsidR="00154A11" w:rsidRPr="00CD51C2">
        <w:rPr>
          <w:bCs/>
          <w:sz w:val="18"/>
          <w:szCs w:val="18"/>
        </w:rPr>
        <w:t>itamina D oraz jej metabolity przenikają do mleka kobiecego, jednak w niewielkich ilościach. Nie obserwowano wywołanego w ten sposób przedawkowania u noworodków i niemowląt. Niemowlęta karmione piersią wymagają dodatkowej suplementacji witaminy D.</w:t>
      </w:r>
      <w:r w:rsidR="00154A11">
        <w:rPr>
          <w:b/>
          <w:bCs/>
          <w:sz w:val="18"/>
          <w:szCs w:val="18"/>
        </w:rPr>
        <w:t xml:space="preserve"> </w:t>
      </w:r>
      <w:r w:rsidR="00154A11" w:rsidRPr="00CD51C2">
        <w:rPr>
          <w:bCs/>
          <w:sz w:val="18"/>
          <w:szCs w:val="18"/>
        </w:rPr>
        <w:t>Jeżeli oznaczenie witaminy 25(OH)D u pacjentki nie jest możliwe, zalecane jest stosowanie witaminy D w dawce 2000 IU/dobę, przez cały okres karmienia piersią.</w:t>
      </w:r>
      <w:r w:rsidR="00154A11">
        <w:rPr>
          <w:b/>
          <w:bCs/>
          <w:sz w:val="18"/>
          <w:szCs w:val="18"/>
        </w:rPr>
        <w:t xml:space="preserve"> </w:t>
      </w:r>
      <w:r w:rsidR="00154A11" w:rsidRPr="0022729D">
        <w:rPr>
          <w:b/>
          <w:bCs/>
          <w:sz w:val="18"/>
          <w:szCs w:val="18"/>
        </w:rPr>
        <w:t>Wpływ na zdolność prowadzenia pojazdów i obsługiwania maszyn</w:t>
      </w:r>
      <w:r w:rsidR="00154A11" w:rsidRPr="00BA60CD">
        <w:rPr>
          <w:b/>
          <w:bCs/>
          <w:sz w:val="18"/>
          <w:szCs w:val="18"/>
        </w:rPr>
        <w:t>:</w:t>
      </w:r>
      <w:r w:rsidR="00154A11" w:rsidRPr="00CD51C2">
        <w:t xml:space="preserve"> </w:t>
      </w:r>
      <w:r w:rsidR="00154A11" w:rsidRPr="00CD51C2">
        <w:rPr>
          <w:bCs/>
          <w:sz w:val="18"/>
          <w:szCs w:val="18"/>
        </w:rPr>
        <w:t>Produkt lecznicz</w:t>
      </w:r>
      <w:r w:rsidR="00154A11">
        <w:rPr>
          <w:bCs/>
          <w:sz w:val="18"/>
          <w:szCs w:val="18"/>
        </w:rPr>
        <w:t xml:space="preserve">y </w:t>
      </w:r>
      <w:r w:rsidR="00154A11">
        <w:rPr>
          <w:bCs/>
          <w:sz w:val="18"/>
          <w:szCs w:val="18"/>
        </w:rPr>
        <w:t>Vigalex Forte</w:t>
      </w:r>
      <w:r w:rsidR="00154A11">
        <w:rPr>
          <w:bCs/>
          <w:sz w:val="18"/>
          <w:szCs w:val="18"/>
        </w:rPr>
        <w:t xml:space="preserve"> nie ma</w:t>
      </w:r>
      <w:r w:rsidR="00154A11" w:rsidRPr="00CD51C2">
        <w:rPr>
          <w:bCs/>
          <w:sz w:val="18"/>
          <w:szCs w:val="18"/>
        </w:rPr>
        <w:t xml:space="preserve"> wpływu lub wywierają nieistotny wpływ na zdolność prowadzenia pojazdów i obsługiwania maszyn.</w:t>
      </w:r>
      <w:r w:rsidR="00154A11">
        <w:rPr>
          <w:b/>
          <w:bCs/>
          <w:sz w:val="18"/>
          <w:szCs w:val="18"/>
        </w:rPr>
        <w:t xml:space="preserve"> </w:t>
      </w:r>
      <w:r w:rsidR="00154A11" w:rsidRPr="00BA60CD">
        <w:rPr>
          <w:b/>
          <w:bCs/>
          <w:sz w:val="18"/>
          <w:szCs w:val="18"/>
        </w:rPr>
        <w:t>Działania niepożądane:</w:t>
      </w:r>
      <w:r w:rsidR="00154A11">
        <w:rPr>
          <w:b/>
          <w:bCs/>
          <w:sz w:val="18"/>
          <w:szCs w:val="18"/>
        </w:rPr>
        <w:t xml:space="preserve"> </w:t>
      </w:r>
      <w:r w:rsidR="00154A11" w:rsidRPr="0022729D">
        <w:rPr>
          <w:bCs/>
          <w:sz w:val="18"/>
          <w:szCs w:val="18"/>
        </w:rPr>
        <w:t>Częstość występowania działań niepożądanych ustalono</w:t>
      </w:r>
      <w:r w:rsidR="00154A11">
        <w:rPr>
          <w:bCs/>
          <w:sz w:val="18"/>
          <w:szCs w:val="18"/>
        </w:rPr>
        <w:t xml:space="preserve"> zgodnie z następującą zasadą: często (≥1/100 do &lt;1/10); </w:t>
      </w:r>
      <w:r w:rsidR="00154A11" w:rsidRPr="0022729D">
        <w:rPr>
          <w:bCs/>
          <w:sz w:val="18"/>
          <w:szCs w:val="18"/>
        </w:rPr>
        <w:t>niezby</w:t>
      </w:r>
      <w:r w:rsidR="00154A11">
        <w:rPr>
          <w:bCs/>
          <w:sz w:val="18"/>
          <w:szCs w:val="18"/>
        </w:rPr>
        <w:t xml:space="preserve">t często (≥1/1 000 do &lt;1/100); </w:t>
      </w:r>
      <w:r w:rsidR="00154A11" w:rsidRPr="0022729D">
        <w:rPr>
          <w:bCs/>
          <w:sz w:val="18"/>
          <w:szCs w:val="18"/>
        </w:rPr>
        <w:t>r</w:t>
      </w:r>
      <w:r w:rsidR="00154A11">
        <w:rPr>
          <w:bCs/>
          <w:sz w:val="18"/>
          <w:szCs w:val="18"/>
        </w:rPr>
        <w:t xml:space="preserve">zadko (≥1/10 000 do &lt;1/1 000);  bardzo rzadko (≤1/10 000); </w:t>
      </w:r>
      <w:r w:rsidR="00154A11" w:rsidRPr="0022729D">
        <w:rPr>
          <w:bCs/>
          <w:sz w:val="18"/>
          <w:szCs w:val="18"/>
        </w:rPr>
        <w:t>częstość nieznana (nie może być określona na podstawie dostępnych danych).</w:t>
      </w:r>
      <w:r w:rsidR="00154A11" w:rsidRPr="00BA60CD">
        <w:rPr>
          <w:b/>
          <w:bCs/>
          <w:sz w:val="18"/>
          <w:szCs w:val="18"/>
        </w:rPr>
        <w:t xml:space="preserve"> </w:t>
      </w:r>
    </w:p>
    <w:p w14:paraId="25029022" w14:textId="77777777" w:rsidR="00154A11" w:rsidRDefault="00154A11" w:rsidP="00154A11">
      <w:pPr>
        <w:suppressAutoHyphens w:val="0"/>
        <w:jc w:val="both"/>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941"/>
        <w:gridCol w:w="4652"/>
      </w:tblGrid>
      <w:tr w:rsidR="00154A11" w:rsidRPr="00F409F0" w14:paraId="6B5DA502" w14:textId="77777777" w:rsidTr="003149B9">
        <w:tc>
          <w:tcPr>
            <w:tcW w:w="2518" w:type="dxa"/>
            <w:shd w:val="clear" w:color="auto" w:fill="auto"/>
            <w:vAlign w:val="center"/>
          </w:tcPr>
          <w:p w14:paraId="6E6032E7" w14:textId="77777777" w:rsidR="00154A11" w:rsidRPr="00F409F0" w:rsidRDefault="00154A11" w:rsidP="003149B9">
            <w:pPr>
              <w:suppressAutoHyphens w:val="0"/>
              <w:jc w:val="both"/>
              <w:rPr>
                <w:b/>
                <w:sz w:val="18"/>
                <w:szCs w:val="18"/>
                <w:lang w:eastAsia="pl-PL"/>
              </w:rPr>
            </w:pPr>
            <w:r w:rsidRPr="00F409F0">
              <w:rPr>
                <w:b/>
                <w:sz w:val="18"/>
                <w:szCs w:val="18"/>
                <w:lang w:eastAsia="pl-PL"/>
              </w:rPr>
              <w:t>Klasyfikacja układów i narządów</w:t>
            </w:r>
          </w:p>
        </w:tc>
        <w:tc>
          <w:tcPr>
            <w:tcW w:w="1985" w:type="dxa"/>
            <w:shd w:val="clear" w:color="auto" w:fill="auto"/>
            <w:vAlign w:val="center"/>
          </w:tcPr>
          <w:p w14:paraId="7B8DBDDA" w14:textId="77777777" w:rsidR="00154A11" w:rsidRPr="00F409F0" w:rsidRDefault="00154A11" w:rsidP="003149B9">
            <w:pPr>
              <w:suppressAutoHyphens w:val="0"/>
              <w:jc w:val="both"/>
              <w:rPr>
                <w:b/>
                <w:sz w:val="18"/>
                <w:szCs w:val="18"/>
                <w:lang w:eastAsia="pl-PL"/>
              </w:rPr>
            </w:pPr>
            <w:r w:rsidRPr="00F409F0">
              <w:rPr>
                <w:b/>
                <w:sz w:val="18"/>
                <w:szCs w:val="18"/>
                <w:lang w:eastAsia="pl-PL"/>
              </w:rPr>
              <w:t>Częstość</w:t>
            </w:r>
          </w:p>
        </w:tc>
        <w:tc>
          <w:tcPr>
            <w:tcW w:w="4785" w:type="dxa"/>
            <w:shd w:val="clear" w:color="auto" w:fill="auto"/>
            <w:vAlign w:val="center"/>
          </w:tcPr>
          <w:p w14:paraId="07B950CE" w14:textId="77777777" w:rsidR="00154A11" w:rsidRPr="00F409F0" w:rsidRDefault="00154A11" w:rsidP="003149B9">
            <w:pPr>
              <w:suppressAutoHyphens w:val="0"/>
              <w:jc w:val="both"/>
              <w:rPr>
                <w:b/>
                <w:sz w:val="18"/>
                <w:szCs w:val="18"/>
                <w:lang w:eastAsia="pl-PL"/>
              </w:rPr>
            </w:pPr>
            <w:r w:rsidRPr="00F409F0">
              <w:rPr>
                <w:b/>
                <w:sz w:val="18"/>
                <w:szCs w:val="18"/>
                <w:lang w:eastAsia="pl-PL"/>
              </w:rPr>
              <w:t>Działanie niepożądane</w:t>
            </w:r>
          </w:p>
        </w:tc>
      </w:tr>
      <w:tr w:rsidR="00154A11" w:rsidRPr="00F409F0" w14:paraId="313F3628" w14:textId="77777777" w:rsidTr="003149B9">
        <w:tc>
          <w:tcPr>
            <w:tcW w:w="2518" w:type="dxa"/>
            <w:shd w:val="clear" w:color="auto" w:fill="auto"/>
          </w:tcPr>
          <w:p w14:paraId="02902415" w14:textId="77777777" w:rsidR="00154A11" w:rsidRPr="00F409F0" w:rsidRDefault="00154A11" w:rsidP="003149B9">
            <w:pPr>
              <w:suppressAutoHyphens w:val="0"/>
              <w:jc w:val="both"/>
              <w:rPr>
                <w:sz w:val="18"/>
                <w:szCs w:val="18"/>
                <w:lang w:eastAsia="pl-PL"/>
              </w:rPr>
            </w:pPr>
            <w:r w:rsidRPr="00F409F0">
              <w:rPr>
                <w:sz w:val="18"/>
                <w:szCs w:val="18"/>
                <w:lang w:eastAsia="pl-PL"/>
              </w:rPr>
              <w:t>Zaburzenia żołądka i jelit</w:t>
            </w:r>
          </w:p>
        </w:tc>
        <w:tc>
          <w:tcPr>
            <w:tcW w:w="1985" w:type="dxa"/>
            <w:shd w:val="clear" w:color="auto" w:fill="auto"/>
          </w:tcPr>
          <w:p w14:paraId="6EC4F1E6" w14:textId="77777777" w:rsidR="00154A11" w:rsidRPr="00F409F0" w:rsidRDefault="00154A11" w:rsidP="003149B9">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1480EE35" w14:textId="77777777" w:rsidR="00154A11" w:rsidRPr="00F409F0" w:rsidRDefault="00154A11" w:rsidP="003149B9">
            <w:pPr>
              <w:suppressAutoHyphens w:val="0"/>
              <w:jc w:val="both"/>
              <w:rPr>
                <w:sz w:val="18"/>
                <w:szCs w:val="18"/>
                <w:lang w:eastAsia="pl-PL"/>
              </w:rPr>
            </w:pPr>
            <w:r w:rsidRPr="00F409F0">
              <w:rPr>
                <w:sz w:val="18"/>
                <w:szCs w:val="18"/>
                <w:lang w:eastAsia="pl-PL"/>
              </w:rPr>
              <w:t>Dolegliwości żołądkowo-jelitowe, takie jak zaparcia, wzdęcia, nudności, bóle brzucha lub biegunka.</w:t>
            </w:r>
          </w:p>
        </w:tc>
      </w:tr>
      <w:tr w:rsidR="00154A11" w:rsidRPr="00F409F0" w14:paraId="6F6E476A" w14:textId="77777777" w:rsidTr="003149B9">
        <w:tc>
          <w:tcPr>
            <w:tcW w:w="2518" w:type="dxa"/>
            <w:shd w:val="clear" w:color="auto" w:fill="auto"/>
          </w:tcPr>
          <w:p w14:paraId="610D5A45" w14:textId="77777777" w:rsidR="00154A11" w:rsidRPr="00F409F0" w:rsidRDefault="00154A11" w:rsidP="003149B9">
            <w:pPr>
              <w:suppressAutoHyphens w:val="0"/>
              <w:jc w:val="both"/>
              <w:rPr>
                <w:sz w:val="18"/>
                <w:szCs w:val="18"/>
                <w:lang w:eastAsia="pl-PL"/>
              </w:rPr>
            </w:pPr>
            <w:r w:rsidRPr="00F409F0">
              <w:rPr>
                <w:sz w:val="18"/>
                <w:szCs w:val="18"/>
                <w:lang w:eastAsia="pl-PL"/>
              </w:rPr>
              <w:t>Zaburzenia skóry i tkanki podskórnej</w:t>
            </w:r>
          </w:p>
        </w:tc>
        <w:tc>
          <w:tcPr>
            <w:tcW w:w="1985" w:type="dxa"/>
            <w:shd w:val="clear" w:color="auto" w:fill="auto"/>
          </w:tcPr>
          <w:p w14:paraId="584CFCAE" w14:textId="77777777" w:rsidR="00154A11" w:rsidRPr="00F409F0" w:rsidRDefault="00154A11" w:rsidP="003149B9">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1C868378" w14:textId="77777777" w:rsidR="00154A11" w:rsidRPr="00F409F0" w:rsidRDefault="00154A11" w:rsidP="003149B9">
            <w:pPr>
              <w:suppressAutoHyphens w:val="0"/>
              <w:jc w:val="both"/>
              <w:rPr>
                <w:sz w:val="18"/>
                <w:szCs w:val="18"/>
                <w:lang w:eastAsia="pl-PL"/>
              </w:rPr>
            </w:pPr>
            <w:r w:rsidRPr="00F409F0">
              <w:rPr>
                <w:sz w:val="18"/>
                <w:szCs w:val="18"/>
                <w:lang w:eastAsia="pl-PL"/>
              </w:rPr>
              <w:t>Reakcje nadwrażliwości, takie jak świąd skóry, wysypka lub pokrzywka.</w:t>
            </w:r>
          </w:p>
        </w:tc>
      </w:tr>
      <w:tr w:rsidR="00154A11" w:rsidRPr="00F409F0" w14:paraId="399B2A07" w14:textId="77777777" w:rsidTr="003149B9">
        <w:tc>
          <w:tcPr>
            <w:tcW w:w="2518" w:type="dxa"/>
            <w:shd w:val="clear" w:color="auto" w:fill="auto"/>
          </w:tcPr>
          <w:p w14:paraId="74B6AFE1" w14:textId="77777777" w:rsidR="00154A11" w:rsidRPr="00F409F0" w:rsidRDefault="00154A11" w:rsidP="003149B9">
            <w:pPr>
              <w:suppressAutoHyphens w:val="0"/>
              <w:jc w:val="both"/>
              <w:rPr>
                <w:sz w:val="18"/>
                <w:szCs w:val="18"/>
                <w:lang w:eastAsia="pl-PL"/>
              </w:rPr>
            </w:pPr>
            <w:r w:rsidRPr="00F409F0">
              <w:rPr>
                <w:sz w:val="18"/>
                <w:szCs w:val="18"/>
                <w:lang w:eastAsia="pl-PL"/>
              </w:rPr>
              <w:t>Zaburzenia metabolizmu i odżywiania</w:t>
            </w:r>
          </w:p>
        </w:tc>
        <w:tc>
          <w:tcPr>
            <w:tcW w:w="1985" w:type="dxa"/>
            <w:shd w:val="clear" w:color="auto" w:fill="auto"/>
          </w:tcPr>
          <w:p w14:paraId="1F864D0A" w14:textId="77777777" w:rsidR="00154A11" w:rsidRPr="00F409F0" w:rsidRDefault="00154A11" w:rsidP="003149B9">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7E464DAC" w14:textId="77777777" w:rsidR="00154A11" w:rsidRPr="00F409F0" w:rsidRDefault="00154A11" w:rsidP="003149B9">
            <w:pPr>
              <w:suppressAutoHyphens w:val="0"/>
              <w:jc w:val="both"/>
              <w:rPr>
                <w:sz w:val="18"/>
                <w:szCs w:val="18"/>
                <w:lang w:eastAsia="pl-PL"/>
              </w:rPr>
            </w:pPr>
            <w:r w:rsidRPr="00F409F0">
              <w:rPr>
                <w:sz w:val="18"/>
                <w:szCs w:val="18"/>
                <w:lang w:eastAsia="pl-PL"/>
              </w:rPr>
              <w:t>Hiperkalcemia i hiperkalciuria w przypadku przedłużonego stosowania dużych dawek.</w:t>
            </w:r>
          </w:p>
          <w:p w14:paraId="6A1EC5E7" w14:textId="77777777" w:rsidR="00154A11" w:rsidRPr="00F409F0" w:rsidRDefault="00154A11" w:rsidP="003149B9">
            <w:pPr>
              <w:suppressAutoHyphens w:val="0"/>
              <w:jc w:val="both"/>
              <w:rPr>
                <w:sz w:val="18"/>
                <w:szCs w:val="18"/>
                <w:lang w:eastAsia="pl-PL"/>
              </w:rPr>
            </w:pPr>
            <w:r w:rsidRPr="00F409F0">
              <w:rPr>
                <w:sz w:val="18"/>
                <w:szCs w:val="18"/>
                <w:lang w:eastAsia="pl-PL"/>
              </w:rPr>
              <w:t>W pojedynczych przypadkach opisywano zejścia śmiertelne.</w:t>
            </w:r>
          </w:p>
        </w:tc>
      </w:tr>
    </w:tbl>
    <w:p w14:paraId="10A812BB" w14:textId="77777777" w:rsidR="00154A11" w:rsidRDefault="00154A11" w:rsidP="00154A11">
      <w:pPr>
        <w:suppressAutoHyphens w:val="0"/>
        <w:jc w:val="both"/>
        <w:rPr>
          <w:b/>
          <w:bCs/>
          <w:sz w:val="18"/>
          <w:szCs w:val="18"/>
        </w:rPr>
      </w:pPr>
    </w:p>
    <w:p w14:paraId="1AE34EA7" w14:textId="77777777" w:rsidR="00154A11" w:rsidRPr="00F409F0" w:rsidRDefault="00154A11" w:rsidP="00154A11">
      <w:pPr>
        <w:suppressAutoHyphens w:val="0"/>
        <w:jc w:val="both"/>
        <w:rPr>
          <w:bCs/>
          <w:sz w:val="18"/>
          <w:szCs w:val="18"/>
          <w:u w:val="single"/>
        </w:rPr>
      </w:pPr>
      <w:r w:rsidRPr="00F409F0">
        <w:rPr>
          <w:bCs/>
          <w:sz w:val="18"/>
          <w:szCs w:val="18"/>
          <w:u w:val="single"/>
        </w:rPr>
        <w:t>Zgłaszanie podej</w:t>
      </w:r>
      <w:r>
        <w:rPr>
          <w:bCs/>
          <w:sz w:val="18"/>
          <w:szCs w:val="18"/>
          <w:u w:val="single"/>
        </w:rPr>
        <w:t xml:space="preserve">rzewanych działań niepożądanych: </w:t>
      </w:r>
      <w:r w:rsidRPr="00F409F0">
        <w:rPr>
          <w:bCs/>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Pr="00AF2E5D">
        <w:rPr>
          <w:bCs/>
          <w:sz w:val="18"/>
          <w:szCs w:val="18"/>
        </w:rPr>
        <w:t xml:space="preserve"> </w:t>
      </w:r>
      <w:r w:rsidRPr="00F409F0">
        <w:rPr>
          <w:bCs/>
          <w:sz w:val="18"/>
          <w:szCs w:val="18"/>
        </w:rPr>
        <w:t>Al. Jerozolimskie 181C</w:t>
      </w:r>
    </w:p>
    <w:p w14:paraId="364925A1" w14:textId="4E649320" w:rsidR="000931A1" w:rsidRPr="008F3CD9" w:rsidRDefault="00154A11" w:rsidP="00154A11">
      <w:pPr>
        <w:suppressAutoHyphens w:val="0"/>
        <w:jc w:val="both"/>
        <w:rPr>
          <w:bCs/>
          <w:sz w:val="18"/>
          <w:szCs w:val="18"/>
        </w:rPr>
      </w:pPr>
      <w:r>
        <w:rPr>
          <w:bCs/>
          <w:sz w:val="18"/>
          <w:szCs w:val="18"/>
        </w:rPr>
        <w:t xml:space="preserve">02-222 Warszawa, Tel.: + 48 22 49 21 301, Faks: + 48 22 49 21 309, </w:t>
      </w:r>
      <w:r w:rsidRPr="00F409F0">
        <w:rPr>
          <w:bCs/>
          <w:sz w:val="18"/>
          <w:szCs w:val="18"/>
        </w:rPr>
        <w:t>Strona internetowa:</w:t>
      </w:r>
      <w:r>
        <w:rPr>
          <w:bCs/>
          <w:sz w:val="18"/>
          <w:szCs w:val="18"/>
        </w:rPr>
        <w:t xml:space="preserve"> https://smz.ezdrowie.gov.pl    </w:t>
      </w:r>
      <w:r w:rsidRPr="00F409F0">
        <w:rPr>
          <w:bCs/>
          <w:sz w:val="18"/>
          <w:szCs w:val="18"/>
        </w:rPr>
        <w:t>Działania niepożądane można zgłaszać również podmiotowi odpowiedzialnemu.</w:t>
      </w:r>
      <w:r>
        <w:rPr>
          <w:bCs/>
          <w:sz w:val="18"/>
          <w:szCs w:val="18"/>
        </w:rPr>
        <w:t xml:space="preserve"> </w:t>
      </w:r>
      <w:r w:rsidRPr="00BA60CD">
        <w:rPr>
          <w:b/>
          <w:bCs/>
          <w:sz w:val="18"/>
          <w:szCs w:val="18"/>
        </w:rPr>
        <w:t>Przedawkowanie:</w:t>
      </w:r>
      <w:r>
        <w:rPr>
          <w:b/>
          <w:bCs/>
          <w:sz w:val="18"/>
          <w:szCs w:val="18"/>
        </w:rPr>
        <w:t xml:space="preserve"> </w:t>
      </w:r>
      <w:r w:rsidRPr="00CD51C2">
        <w:rPr>
          <w:bCs/>
          <w:sz w:val="18"/>
          <w:szCs w:val="18"/>
        </w:rPr>
        <w:t xml:space="preserve">U osób dorosłych przedawkowanie może wystąpić po stosowaniu 20 000 do 60 000 IU cholekalcyferolu na dobę przez okres kilku tygodni lub miesięcy, a u dzieci po stosowaniu 2000 do 4000 IU przez kilka miesięcy. Nie zaleca się długotrwałego przyjmowania </w:t>
      </w:r>
      <w:r>
        <w:rPr>
          <w:bCs/>
          <w:sz w:val="18"/>
          <w:szCs w:val="18"/>
        </w:rPr>
        <w:t xml:space="preserve">witaminy D bez nadzoru lekarza. </w:t>
      </w:r>
      <w:r w:rsidRPr="00CD51C2">
        <w:rPr>
          <w:bCs/>
          <w:sz w:val="18"/>
          <w:szCs w:val="18"/>
          <w:u w:val="single"/>
        </w:rPr>
        <w:t>Objawy przedawkowania</w:t>
      </w:r>
      <w:r>
        <w:rPr>
          <w:bCs/>
          <w:sz w:val="18"/>
          <w:szCs w:val="18"/>
        </w:rPr>
        <w:t>: d</w:t>
      </w:r>
      <w:r w:rsidRPr="00CD51C2">
        <w:rPr>
          <w:bCs/>
          <w:sz w:val="18"/>
          <w:szCs w:val="18"/>
        </w:rPr>
        <w:t xml:space="preserve">ługotrwałe przedawkowanie witaminy D może prowadzić do hiperkalcemii i hiperkalciurii. Stosowanie </w:t>
      </w:r>
      <w:r>
        <w:rPr>
          <w:bCs/>
          <w:sz w:val="18"/>
          <w:szCs w:val="18"/>
        </w:rPr>
        <w:t>Vigalex Forte</w:t>
      </w:r>
      <w:r w:rsidRPr="00CD51C2">
        <w:rPr>
          <w:bCs/>
          <w:sz w:val="18"/>
          <w:szCs w:val="18"/>
        </w:rPr>
        <w:t xml:space="preserve"> w ilościach znacznie przewyższających zapotrzebowanie organizmu na witaminę D przez dłuższy czas może prowadzić do zwapnienia narządów m</w:t>
      </w:r>
      <w:r>
        <w:rPr>
          <w:bCs/>
          <w:sz w:val="18"/>
          <w:szCs w:val="18"/>
        </w:rPr>
        <w:t xml:space="preserve">iąższowych. </w:t>
      </w:r>
      <w:r w:rsidRPr="00CD51C2">
        <w:rPr>
          <w:bCs/>
          <w:sz w:val="18"/>
          <w:szCs w:val="18"/>
        </w:rPr>
        <w:t>Ergokalcyferol (witamina D2) i cholekalcyferol (witamina D3) mają względnie niski indeks terapeutyczny. Próg zatrucia dla witaminy D wynosi pomiędzy 40 000 i 100 000 IU na dobę przez 1 do 2 miesięcy u dorosłych z prawidłową czynnością przytarczyc. Niemowlęta i dzieci mogą reagować z większą wrażliwością na dużo mniejsze dawki. Z tego powodu nie należy przyjmować w</w:t>
      </w:r>
      <w:r>
        <w:rPr>
          <w:bCs/>
          <w:sz w:val="18"/>
          <w:szCs w:val="18"/>
        </w:rPr>
        <w:t xml:space="preserve">itaminy D bez nadzoru lekarza. </w:t>
      </w:r>
      <w:r w:rsidRPr="00CD51C2">
        <w:rPr>
          <w:bCs/>
          <w:sz w:val="18"/>
          <w:szCs w:val="18"/>
        </w:rPr>
        <w:t xml:space="preserve">Przedawkowanie prowadzi do zwiększonego stężenia fosforu w surowicy krwi oraz w moczu, jak również do zespołu hiperkalcemii a w konsekwencji do gromadzenia się wapnia w tkankach, w nerkach (kamica nerkowa, </w:t>
      </w:r>
      <w:r>
        <w:rPr>
          <w:bCs/>
          <w:sz w:val="18"/>
          <w:szCs w:val="18"/>
        </w:rPr>
        <w:t xml:space="preserve">wapnica nerek) i w naczyniach. </w:t>
      </w:r>
      <w:r w:rsidRPr="00CD51C2">
        <w:rPr>
          <w:bCs/>
          <w:sz w:val="18"/>
          <w:szCs w:val="18"/>
        </w:rPr>
        <w:t>Objawy przedawkowania są mało specyficzne: nudności, wymioty, początkowo również biegunka, a następnie zaparcia, utrata apetytu, znużenie, ból głowy, ból mięśni, ból stawów, osłabienie mięśni, senność, azotemia, nadmierne pragnienie, wielomocz i odwodnienie. Jeżeli stężenie wapnia we krwi wynosi powyżej 13 mg/100 ml, występują zaburzenia czynności serca, niewydolność nerek, psychozy, a nawet śpiączka. W badaniach laboratoryjnych stwierdza się hiperkalcemię, hiperkalciurię oraz zwiększone stężenie 25-hydroks</w:t>
      </w:r>
      <w:r>
        <w:rPr>
          <w:bCs/>
          <w:sz w:val="18"/>
          <w:szCs w:val="18"/>
        </w:rPr>
        <w:t xml:space="preserve">ykalcyferolu w surowicy. </w:t>
      </w:r>
      <w:r w:rsidRPr="00CD51C2">
        <w:rPr>
          <w:bCs/>
          <w:sz w:val="18"/>
          <w:szCs w:val="18"/>
        </w:rPr>
        <w:t xml:space="preserve">W wyniku zatrucia witaminą D może nastąpić zejście śmiertelne na skutek </w:t>
      </w:r>
      <w:r>
        <w:rPr>
          <w:bCs/>
          <w:sz w:val="18"/>
          <w:szCs w:val="18"/>
        </w:rPr>
        <w:t xml:space="preserve">niewydolności nerek lub serca. </w:t>
      </w:r>
      <w:r w:rsidRPr="00CD51C2">
        <w:rPr>
          <w:bCs/>
          <w:sz w:val="18"/>
          <w:szCs w:val="18"/>
        </w:rPr>
        <w:t>Postępowanie leczni</w:t>
      </w:r>
      <w:r>
        <w:rPr>
          <w:bCs/>
          <w:sz w:val="18"/>
          <w:szCs w:val="18"/>
        </w:rPr>
        <w:t xml:space="preserve">cze w przypadku przedawkowania </w:t>
      </w:r>
      <w:r w:rsidRPr="00CD51C2">
        <w:rPr>
          <w:bCs/>
          <w:sz w:val="18"/>
          <w:szCs w:val="18"/>
        </w:rPr>
        <w:t>W przypadku przedawkowania witaminy D3 należy przerwać jej podawanie i na</w:t>
      </w:r>
      <w:r>
        <w:rPr>
          <w:bCs/>
          <w:sz w:val="18"/>
          <w:szCs w:val="18"/>
        </w:rPr>
        <w:t xml:space="preserve">wodnić pacjenta. </w:t>
      </w:r>
      <w:r w:rsidRPr="00CD51C2">
        <w:rPr>
          <w:bCs/>
          <w:sz w:val="18"/>
          <w:szCs w:val="18"/>
        </w:rPr>
        <w:t>W przypadku wystąpienia objawów przewlekłego przedawkowania witaminy D może być konieczne odpowiednie postępowanie celem zwiększenia wydalania z moczem, jak też podanie glikokor</w:t>
      </w:r>
      <w:r>
        <w:rPr>
          <w:bCs/>
          <w:sz w:val="18"/>
          <w:szCs w:val="18"/>
        </w:rPr>
        <w:t xml:space="preserve">tykosteroidów lub kalcytoniny. </w:t>
      </w:r>
      <w:r w:rsidRPr="00CD51C2">
        <w:rPr>
          <w:bCs/>
          <w:sz w:val="18"/>
          <w:szCs w:val="18"/>
        </w:rPr>
        <w:t>W razie przedawkowania konieczne jest podjęcie działań terapeutycznych mających na celu wyrównanie utrzymującej się przez dłuższy czas i w niektórych przypadkach zag</w:t>
      </w:r>
      <w:r>
        <w:rPr>
          <w:bCs/>
          <w:sz w:val="18"/>
          <w:szCs w:val="18"/>
        </w:rPr>
        <w:t xml:space="preserve">rażającej życiu hiperkalcemii. </w:t>
      </w:r>
      <w:r w:rsidRPr="00CD51C2">
        <w:rPr>
          <w:bCs/>
          <w:sz w:val="18"/>
          <w:szCs w:val="18"/>
        </w:rPr>
        <w:t>Należy odstawić witaminę D; przywrócenie właściwego stężenia wapnia w krwi po zatruciu witaminą D prowadzącym do wystąpienia objawów hiperk</w:t>
      </w:r>
      <w:r>
        <w:rPr>
          <w:bCs/>
          <w:sz w:val="18"/>
          <w:szCs w:val="18"/>
        </w:rPr>
        <w:t xml:space="preserve">alcemii zajmuje kilka tygodni. </w:t>
      </w:r>
      <w:r w:rsidRPr="00CD51C2">
        <w:rPr>
          <w:bCs/>
          <w:sz w:val="18"/>
          <w:szCs w:val="18"/>
        </w:rPr>
        <w:t>W zależności od stopnia zaawansowania hiperkalcemii należy zastosować dietę ubogą w wapń lub bezwapniową, przyjmowanie dużych ilości płynów, wymuszoną diurezę z użyciem furosemidu oraz podanie glikok</w:t>
      </w:r>
      <w:r>
        <w:rPr>
          <w:bCs/>
          <w:sz w:val="18"/>
          <w:szCs w:val="18"/>
        </w:rPr>
        <w:t xml:space="preserve">ortykosteroidów i kalcytoniny. </w:t>
      </w:r>
      <w:r w:rsidRPr="00CD51C2">
        <w:rPr>
          <w:bCs/>
          <w:sz w:val="18"/>
          <w:szCs w:val="18"/>
        </w:rPr>
        <w:t>W przypadku prawidłowej czynności nerek można zmniejszyć stężenie wapnia wykonując infuzję izotonicznego roztworu NaCl (3 do 6 litrów w ciągu 24 godzin) z dodatkiem furosemidu oraz związków chelatujących wapń i glikokortykosteroidów. W niektórych sytuacjach należy również podać sól kwasu edetowego w ilości 15 mg/kg masy ciała /godzinę oraz w dalszym ciągu kontrolować stężenia wapnia i monitorować zapis EKG. W oligonurii konieczna jest hemodializ</w:t>
      </w:r>
      <w:r>
        <w:rPr>
          <w:bCs/>
          <w:sz w:val="18"/>
          <w:szCs w:val="18"/>
        </w:rPr>
        <w:t xml:space="preserve">a (dializa bezwapniowa). </w:t>
      </w:r>
      <w:r w:rsidRPr="00CD51C2">
        <w:rPr>
          <w:bCs/>
          <w:sz w:val="18"/>
          <w:szCs w:val="18"/>
        </w:rPr>
        <w:t>N</w:t>
      </w:r>
      <w:r>
        <w:rPr>
          <w:bCs/>
          <w:sz w:val="18"/>
          <w:szCs w:val="18"/>
        </w:rPr>
        <w:t xml:space="preserve">ie ma specyficznego antidotum. </w:t>
      </w:r>
      <w:r w:rsidRPr="00CD51C2">
        <w:rPr>
          <w:bCs/>
          <w:sz w:val="18"/>
          <w:szCs w:val="18"/>
        </w:rPr>
        <w:t>Należy informować pacjentów poddawanych przewlekłej terapii większymi dawkami witaminy D o objawach potencjalnego przedawkowania (nudności, wymioty, biegunka, po której następują zaparcia, utrata apetytu, znużenie, ból głowy, ból mięśni, ból stawów, osłabienie napięcia mięśniowego, senność, azotemia, nadmierne pragnienie i wielomocz)</w:t>
      </w:r>
      <w:r w:rsidR="000931A1" w:rsidRPr="00BA60CD">
        <w:rPr>
          <w:b/>
          <w:bCs/>
          <w:sz w:val="18"/>
          <w:szCs w:val="18"/>
        </w:rPr>
        <w:t xml:space="preserve"> Pozwolenie na dopuszczenie do obrotu:</w:t>
      </w:r>
      <w:r w:rsidR="008F3CD9" w:rsidRPr="008F3CD9">
        <w:t xml:space="preserve"> </w:t>
      </w:r>
      <w:r w:rsidR="00CD51C2">
        <w:rPr>
          <w:bCs/>
          <w:sz w:val="18"/>
          <w:szCs w:val="18"/>
        </w:rPr>
        <w:t xml:space="preserve">Vigalex Forte pozwolenie numer </w:t>
      </w:r>
      <w:r w:rsidR="00CD51C2" w:rsidRPr="00CD51C2">
        <w:rPr>
          <w:bCs/>
          <w:sz w:val="18"/>
          <w:szCs w:val="18"/>
          <w:highlight w:val="yellow"/>
        </w:rPr>
        <w:t>XXX</w:t>
      </w:r>
      <w:r w:rsidR="00981E9A">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commentRangeStart w:id="1"/>
      <w:r w:rsidR="00115644" w:rsidRPr="00115644">
        <w:rPr>
          <w:sz w:val="18"/>
          <w:szCs w:val="18"/>
          <w:highlight w:val="yellow"/>
        </w:rPr>
        <w:t>XXX</w:t>
      </w:r>
      <w:r w:rsidR="000931A1" w:rsidRPr="00BA60CD">
        <w:rPr>
          <w:sz w:val="18"/>
          <w:szCs w:val="18"/>
        </w:rPr>
        <w:t xml:space="preserve"> tabletek </w:t>
      </w:r>
      <w:commentRangeEnd w:id="1"/>
      <w:r w:rsidR="00C63C1D">
        <w:rPr>
          <w:rStyle w:val="Odwoaniedokomentarza"/>
        </w:rPr>
        <w:commentReference w:id="1"/>
      </w:r>
    </w:p>
    <w:p w14:paraId="2F3560B0" w14:textId="77777777" w:rsidR="000931A1" w:rsidRPr="00BA60CD" w:rsidRDefault="000931A1" w:rsidP="00F409F0">
      <w:pPr>
        <w:jc w:val="both"/>
        <w:rPr>
          <w:sz w:val="18"/>
          <w:szCs w:val="18"/>
        </w:rPr>
      </w:pPr>
    </w:p>
    <w:p w14:paraId="2DCB198E" w14:textId="77777777" w:rsidR="000931A1" w:rsidRPr="00BA60CD" w:rsidRDefault="000931A1" w:rsidP="00F409F0">
      <w:pPr>
        <w:jc w:val="both"/>
        <w:rPr>
          <w:sz w:val="18"/>
          <w:szCs w:val="18"/>
        </w:rPr>
      </w:pPr>
    </w:p>
    <w:p w14:paraId="63A0195A" w14:textId="77777777" w:rsidR="000931A1" w:rsidRPr="00BA60CD" w:rsidRDefault="000931A1" w:rsidP="00F409F0">
      <w:pPr>
        <w:jc w:val="both"/>
        <w:rPr>
          <w:sz w:val="18"/>
          <w:szCs w:val="18"/>
        </w:rPr>
      </w:pPr>
    </w:p>
    <w:p w14:paraId="0FF97774" w14:textId="77777777" w:rsidR="000931A1" w:rsidRPr="00BA60CD" w:rsidRDefault="000931A1" w:rsidP="00F409F0">
      <w:pPr>
        <w:jc w:val="both"/>
        <w:rPr>
          <w:sz w:val="18"/>
          <w:szCs w:val="18"/>
        </w:rPr>
      </w:pPr>
    </w:p>
    <w:p w14:paraId="706843E0" w14:textId="77777777" w:rsidR="004041AC" w:rsidRPr="00BA60CD" w:rsidRDefault="004041AC" w:rsidP="00F409F0">
      <w:pPr>
        <w:jc w:val="both"/>
        <w:rPr>
          <w:sz w:val="18"/>
          <w:szCs w:val="18"/>
        </w:rPr>
      </w:pPr>
    </w:p>
    <w:sectPr w:rsidR="004041AC" w:rsidRPr="00BA60CD" w:rsidSect="00F47341">
      <w:footnotePr>
        <w:pos w:val="beneathText"/>
      </w:footnotePr>
      <w:pgSz w:w="11905" w:h="16837"/>
      <w:pgMar w:top="1418" w:right="1418" w:bottom="1418" w:left="1418" w:header="708"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ksandra Gnalicka" w:date="2019-05-22T14:20:00Z" w:initials="AG">
    <w:p w14:paraId="1C602D85" w14:textId="77777777" w:rsidR="00C63C1D" w:rsidRDefault="00C63C1D">
      <w:pPr>
        <w:pStyle w:val="Tekstkomentarza"/>
      </w:pPr>
      <w:r>
        <w:rPr>
          <w:rStyle w:val="Odwoaniedokomentarza"/>
        </w:rPr>
        <w:annotationRef/>
      </w:r>
      <w:r>
        <w:t>Do wprowadzenia przez MDM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2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Gnalicka">
    <w15:presenceInfo w15:providerId="AD" w15:userId="S-1-5-21-1309664825-2518016205-1700259009-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931A1"/>
    <w:rsid w:val="000D0DF6"/>
    <w:rsid w:val="00115644"/>
    <w:rsid w:val="00154A11"/>
    <w:rsid w:val="00192976"/>
    <w:rsid w:val="001D33D9"/>
    <w:rsid w:val="0022729D"/>
    <w:rsid w:val="00250AD9"/>
    <w:rsid w:val="004041AC"/>
    <w:rsid w:val="00464949"/>
    <w:rsid w:val="00565348"/>
    <w:rsid w:val="00656EA4"/>
    <w:rsid w:val="00661B66"/>
    <w:rsid w:val="006F20AF"/>
    <w:rsid w:val="00734932"/>
    <w:rsid w:val="008B74CD"/>
    <w:rsid w:val="008F3CD9"/>
    <w:rsid w:val="00981E9A"/>
    <w:rsid w:val="00AF2E5D"/>
    <w:rsid w:val="00B049E0"/>
    <w:rsid w:val="00B23A10"/>
    <w:rsid w:val="00B67A36"/>
    <w:rsid w:val="00B81788"/>
    <w:rsid w:val="00BA60CD"/>
    <w:rsid w:val="00C01A37"/>
    <w:rsid w:val="00C63C1D"/>
    <w:rsid w:val="00CD51C2"/>
    <w:rsid w:val="00D1731C"/>
    <w:rsid w:val="00DA1B0E"/>
    <w:rsid w:val="00DE2DC6"/>
    <w:rsid w:val="00E71ADF"/>
    <w:rsid w:val="00EC376D"/>
    <w:rsid w:val="00F0708C"/>
    <w:rsid w:val="00F409F0"/>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2E5D"/>
    <w:pPr>
      <w:tabs>
        <w:tab w:val="center" w:pos="4536"/>
        <w:tab w:val="right" w:pos="9072"/>
      </w:tabs>
    </w:pPr>
  </w:style>
  <w:style w:type="character" w:customStyle="1" w:styleId="NagwekZnak">
    <w:name w:val="Nagłówek Znak"/>
    <w:basedOn w:val="Domylnaczcionkaakapitu"/>
    <w:link w:val="Nagwek"/>
    <w:uiPriority w:val="99"/>
    <w:rsid w:val="00AF2E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1940</Words>
  <Characters>11644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Aleksandra Gnalicka</cp:lastModifiedBy>
  <cp:revision>3</cp:revision>
  <dcterms:created xsi:type="dcterms:W3CDTF">2020-07-30T13:49:00Z</dcterms:created>
  <dcterms:modified xsi:type="dcterms:W3CDTF">2020-09-09T11:43:00Z</dcterms:modified>
</cp:coreProperties>
</file>