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9" w:rsidRPr="00855156" w:rsidRDefault="00A13039" w:rsidP="00A13039">
      <w:pPr>
        <w:jc w:val="both"/>
        <w:rPr>
          <w:b/>
          <w:sz w:val="24"/>
          <w:szCs w:val="24"/>
        </w:rPr>
      </w:pPr>
      <w:proofErr w:type="spellStart"/>
      <w:r w:rsidRPr="00855156">
        <w:rPr>
          <w:b/>
          <w:sz w:val="24"/>
          <w:szCs w:val="24"/>
        </w:rPr>
        <w:t>Seractil</w:t>
      </w:r>
      <w:proofErr w:type="spellEnd"/>
      <w:r w:rsidRPr="00855156">
        <w:rPr>
          <w:b/>
          <w:sz w:val="24"/>
          <w:szCs w:val="24"/>
        </w:rPr>
        <w:t xml:space="preserve"> </w:t>
      </w:r>
      <w:r w:rsidRPr="00855156">
        <w:rPr>
          <w:b/>
          <w:sz w:val="24"/>
          <w:szCs w:val="24"/>
          <w:vertAlign w:val="superscript"/>
        </w:rPr>
        <w:t>®</w:t>
      </w:r>
      <w:r w:rsidRPr="00855156">
        <w:rPr>
          <w:b/>
          <w:sz w:val="24"/>
          <w:szCs w:val="24"/>
        </w:rPr>
        <w:t xml:space="preserve"> </w:t>
      </w:r>
    </w:p>
    <w:p w:rsidR="00A13039" w:rsidRPr="006D3D51" w:rsidRDefault="006D3D51" w:rsidP="006D3D51">
      <w:pPr>
        <w:rPr>
          <w:i/>
          <w:sz w:val="22"/>
          <w:szCs w:val="22"/>
        </w:rPr>
      </w:pPr>
      <w:r w:rsidRPr="000273F0">
        <w:rPr>
          <w:sz w:val="22"/>
          <w:szCs w:val="22"/>
        </w:rPr>
        <w:t xml:space="preserve">Jedna tabletka powlekana zawiera: 200 mg </w:t>
      </w:r>
      <w:proofErr w:type="spellStart"/>
      <w:r w:rsidRPr="000273F0">
        <w:rPr>
          <w:sz w:val="22"/>
          <w:szCs w:val="22"/>
        </w:rPr>
        <w:t>deksibuprofenu</w:t>
      </w:r>
      <w:proofErr w:type="spellEnd"/>
      <w:r w:rsidRPr="000273F0">
        <w:rPr>
          <w:sz w:val="22"/>
          <w:szCs w:val="22"/>
        </w:rPr>
        <w:t xml:space="preserve"> </w:t>
      </w:r>
      <w:r w:rsidRPr="000273F0">
        <w:rPr>
          <w:i/>
          <w:sz w:val="22"/>
          <w:szCs w:val="22"/>
        </w:rPr>
        <w:t>(</w:t>
      </w:r>
      <w:proofErr w:type="spellStart"/>
      <w:r w:rsidRPr="000273F0">
        <w:rPr>
          <w:i/>
          <w:sz w:val="22"/>
          <w:szCs w:val="22"/>
        </w:rPr>
        <w:t>Dexibuprofenum</w:t>
      </w:r>
      <w:proofErr w:type="spellEnd"/>
      <w:r w:rsidRPr="000273F0">
        <w:rPr>
          <w:i/>
          <w:sz w:val="22"/>
          <w:szCs w:val="22"/>
        </w:rPr>
        <w:t>)</w:t>
      </w:r>
      <w:r w:rsidRPr="000273F0">
        <w:rPr>
          <w:sz w:val="22"/>
          <w:szCs w:val="22"/>
        </w:rPr>
        <w:t>.</w:t>
      </w:r>
    </w:p>
    <w:p w:rsidR="00A13039" w:rsidRPr="00024B52" w:rsidRDefault="00A13039" w:rsidP="00024B52">
      <w:pPr>
        <w:pStyle w:val="Tekstpodstawowywcity"/>
        <w:ind w:firstLine="0"/>
        <w:jc w:val="left"/>
        <w:rPr>
          <w:sz w:val="22"/>
          <w:szCs w:val="22"/>
        </w:rPr>
      </w:pPr>
      <w:r w:rsidRPr="00F439A9">
        <w:rPr>
          <w:b/>
          <w:bCs/>
          <w:szCs w:val="24"/>
        </w:rPr>
        <w:t>Wskazania:</w:t>
      </w:r>
      <w:r w:rsidRPr="00F439A9">
        <w:rPr>
          <w:bCs/>
          <w:szCs w:val="24"/>
        </w:rPr>
        <w:t xml:space="preserve"> </w:t>
      </w:r>
      <w:r w:rsidR="00024B52" w:rsidRPr="000273F0">
        <w:rPr>
          <w:sz w:val="22"/>
          <w:szCs w:val="22"/>
        </w:rPr>
        <w:t>Objawowe leczenie:</w:t>
      </w:r>
      <w:r w:rsidR="00024B52">
        <w:rPr>
          <w:sz w:val="22"/>
          <w:szCs w:val="22"/>
        </w:rPr>
        <w:t xml:space="preserve"> </w:t>
      </w:r>
      <w:r w:rsidR="00024B52" w:rsidRPr="000273F0">
        <w:rPr>
          <w:sz w:val="22"/>
          <w:szCs w:val="22"/>
        </w:rPr>
        <w:t>ostrego bólu menstruacyjnego,</w:t>
      </w:r>
      <w:r w:rsidR="00024B52">
        <w:rPr>
          <w:sz w:val="22"/>
          <w:szCs w:val="22"/>
        </w:rPr>
        <w:t xml:space="preserve"> </w:t>
      </w:r>
      <w:r w:rsidR="00024B52" w:rsidRPr="000273F0">
        <w:rPr>
          <w:sz w:val="22"/>
          <w:szCs w:val="22"/>
        </w:rPr>
        <w:t xml:space="preserve">innych rodzajów bólu o nasileniu łagodnym do umiarkowanego, takich jak: bóle </w:t>
      </w:r>
      <w:proofErr w:type="spellStart"/>
      <w:r w:rsidR="00024B52" w:rsidRPr="000273F0">
        <w:rPr>
          <w:sz w:val="22"/>
          <w:szCs w:val="22"/>
        </w:rPr>
        <w:t>mięśniowo</w:t>
      </w:r>
      <w:r w:rsidR="00024B52">
        <w:rPr>
          <w:sz w:val="22"/>
          <w:szCs w:val="22"/>
        </w:rPr>
        <w:noBreakHyphen/>
      </w:r>
      <w:r w:rsidR="00024B52" w:rsidRPr="000273F0">
        <w:rPr>
          <w:sz w:val="22"/>
          <w:szCs w:val="22"/>
        </w:rPr>
        <w:t>szkieletowe</w:t>
      </w:r>
      <w:proofErr w:type="spellEnd"/>
      <w:r w:rsidR="00024B52" w:rsidRPr="000273F0">
        <w:rPr>
          <w:sz w:val="22"/>
          <w:szCs w:val="22"/>
        </w:rPr>
        <w:t xml:space="preserve"> lub bóle zębów.</w:t>
      </w:r>
    </w:p>
    <w:p w:rsidR="00A13039" w:rsidRPr="00585883" w:rsidRDefault="00A13039" w:rsidP="00A13039">
      <w:pPr>
        <w:jc w:val="both"/>
        <w:rPr>
          <w:bCs/>
          <w:sz w:val="24"/>
          <w:szCs w:val="24"/>
        </w:rPr>
      </w:pPr>
      <w:r w:rsidRPr="00F439A9">
        <w:rPr>
          <w:b/>
          <w:bCs/>
          <w:sz w:val="24"/>
          <w:szCs w:val="24"/>
        </w:rPr>
        <w:t xml:space="preserve">Przeciwwskazania: </w:t>
      </w:r>
      <w:r w:rsidR="00585883">
        <w:rPr>
          <w:bCs/>
          <w:sz w:val="24"/>
          <w:szCs w:val="24"/>
        </w:rPr>
        <w:t>Nadwrażliwość</w:t>
      </w:r>
      <w:r w:rsidRPr="00F439A9">
        <w:rPr>
          <w:bCs/>
          <w:sz w:val="24"/>
          <w:szCs w:val="24"/>
        </w:rPr>
        <w:t xml:space="preserve"> na </w:t>
      </w:r>
      <w:proofErr w:type="spellStart"/>
      <w:r w:rsidRPr="00F439A9">
        <w:rPr>
          <w:bCs/>
          <w:sz w:val="24"/>
          <w:szCs w:val="24"/>
        </w:rPr>
        <w:t>deksibuprofen</w:t>
      </w:r>
      <w:proofErr w:type="spellEnd"/>
      <w:r w:rsidRPr="00F439A9">
        <w:rPr>
          <w:bCs/>
          <w:sz w:val="24"/>
          <w:szCs w:val="24"/>
        </w:rPr>
        <w:t>, inne niesteroidowe leki przeciwzapalne (NLPZ) lub na któr</w:t>
      </w:r>
      <w:r w:rsidR="00585883">
        <w:rPr>
          <w:bCs/>
          <w:sz w:val="24"/>
          <w:szCs w:val="24"/>
        </w:rPr>
        <w:t>ąkolwiek substancję pomocniczą. N</w:t>
      </w:r>
      <w:r w:rsidRPr="00F439A9">
        <w:rPr>
          <w:bCs/>
          <w:sz w:val="24"/>
          <w:szCs w:val="24"/>
        </w:rPr>
        <w:t>apady astmy, skurcz oskrzeli, ostre zapalenie błony śluzowej nosa, polipy przewodu nosowego, pokrzy</w:t>
      </w:r>
      <w:r w:rsidR="00585883">
        <w:rPr>
          <w:bCs/>
          <w:sz w:val="24"/>
          <w:szCs w:val="24"/>
        </w:rPr>
        <w:t>wk</w:t>
      </w:r>
      <w:r w:rsidR="005B1F47">
        <w:rPr>
          <w:bCs/>
          <w:sz w:val="24"/>
          <w:szCs w:val="24"/>
        </w:rPr>
        <w:t>a</w:t>
      </w:r>
      <w:r w:rsidR="00585883">
        <w:rPr>
          <w:bCs/>
          <w:sz w:val="24"/>
          <w:szCs w:val="24"/>
        </w:rPr>
        <w:t xml:space="preserve"> lub obrzęk naczynioruchowy </w:t>
      </w:r>
      <w:r w:rsidR="00585883" w:rsidRPr="00585883">
        <w:rPr>
          <w:bCs/>
          <w:sz w:val="24"/>
          <w:szCs w:val="24"/>
        </w:rPr>
        <w:t>związan</w:t>
      </w:r>
      <w:r w:rsidR="005B1F47">
        <w:rPr>
          <w:bCs/>
          <w:sz w:val="24"/>
          <w:szCs w:val="24"/>
        </w:rPr>
        <w:t>y</w:t>
      </w:r>
      <w:r w:rsidR="00585883" w:rsidRPr="00585883">
        <w:rPr>
          <w:bCs/>
          <w:sz w:val="24"/>
          <w:szCs w:val="24"/>
        </w:rPr>
        <w:t xml:space="preserve"> ze stosowaniem substancji o podobnym działaniu (np. kwas acetylosalicylowy lub inne NLPZ)</w:t>
      </w:r>
      <w:r w:rsidR="00585883">
        <w:rPr>
          <w:bCs/>
          <w:sz w:val="24"/>
          <w:szCs w:val="24"/>
        </w:rPr>
        <w:t>. Stwierdzone w wywiadzie perforacje lub krwawienia</w:t>
      </w:r>
      <w:r w:rsidRPr="00F439A9">
        <w:rPr>
          <w:bCs/>
          <w:sz w:val="24"/>
          <w:szCs w:val="24"/>
        </w:rPr>
        <w:t xml:space="preserve"> z</w:t>
      </w:r>
      <w:r w:rsidR="00585883">
        <w:rPr>
          <w:bCs/>
          <w:sz w:val="24"/>
          <w:szCs w:val="24"/>
        </w:rPr>
        <w:t xml:space="preserve"> przewodu pokarmowego związane</w:t>
      </w:r>
      <w:r w:rsidRPr="00F439A9">
        <w:rPr>
          <w:bCs/>
          <w:sz w:val="24"/>
          <w:szCs w:val="24"/>
        </w:rPr>
        <w:t xml:space="preserve"> ze wcześniejszym</w:t>
      </w:r>
      <w:r w:rsidR="00585883">
        <w:rPr>
          <w:bCs/>
          <w:sz w:val="24"/>
          <w:szCs w:val="24"/>
        </w:rPr>
        <w:t xml:space="preserve"> stosowaniem leków z grupy NLPZ. Czynn</w:t>
      </w:r>
      <w:r w:rsidR="005B1F47">
        <w:rPr>
          <w:bCs/>
          <w:sz w:val="24"/>
          <w:szCs w:val="24"/>
        </w:rPr>
        <w:t>a</w:t>
      </w:r>
      <w:r w:rsidR="00585883">
        <w:rPr>
          <w:bCs/>
          <w:sz w:val="24"/>
          <w:szCs w:val="24"/>
        </w:rPr>
        <w:t xml:space="preserve"> lub nawracająca choroba</w:t>
      </w:r>
      <w:r w:rsidRPr="00F439A9">
        <w:rPr>
          <w:bCs/>
          <w:sz w:val="24"/>
          <w:szCs w:val="24"/>
        </w:rPr>
        <w:t xml:space="preserve"> w</w:t>
      </w:r>
      <w:r w:rsidR="00585883">
        <w:rPr>
          <w:bCs/>
          <w:sz w:val="24"/>
          <w:szCs w:val="24"/>
        </w:rPr>
        <w:t>rzodowa</w:t>
      </w:r>
      <w:r w:rsidRPr="00F439A9">
        <w:rPr>
          <w:bCs/>
          <w:sz w:val="24"/>
          <w:szCs w:val="24"/>
        </w:rPr>
        <w:t xml:space="preserve"> żołądka i (lub) dwunastnicy lub krwawienie z przewodu pokarmowego (co najmniej dwa wyraźne epizody potwierdzon</w:t>
      </w:r>
      <w:r w:rsidR="00585883">
        <w:rPr>
          <w:bCs/>
          <w:sz w:val="24"/>
          <w:szCs w:val="24"/>
        </w:rPr>
        <w:t>ego owrzodzenia lub krwawienia). K</w:t>
      </w:r>
      <w:r w:rsidRPr="00F439A9">
        <w:rPr>
          <w:bCs/>
          <w:sz w:val="24"/>
          <w:szCs w:val="24"/>
        </w:rPr>
        <w:t>rwawienia</w:t>
      </w:r>
      <w:r w:rsidR="00585883">
        <w:rPr>
          <w:bCs/>
          <w:sz w:val="24"/>
          <w:szCs w:val="24"/>
        </w:rPr>
        <w:t xml:space="preserve"> z naczyń mózgowych lub inne czynne krwawienia. Czynna choroba</w:t>
      </w:r>
      <w:r w:rsidRPr="00F439A9">
        <w:rPr>
          <w:bCs/>
          <w:sz w:val="24"/>
          <w:szCs w:val="24"/>
        </w:rPr>
        <w:t xml:space="preserve"> </w:t>
      </w:r>
      <w:proofErr w:type="spellStart"/>
      <w:r w:rsidRPr="00F439A9">
        <w:rPr>
          <w:bCs/>
          <w:sz w:val="24"/>
          <w:szCs w:val="24"/>
        </w:rPr>
        <w:t>Leśniowskiego-Crohn</w:t>
      </w:r>
      <w:r w:rsidR="00585883">
        <w:rPr>
          <w:bCs/>
          <w:sz w:val="24"/>
          <w:szCs w:val="24"/>
        </w:rPr>
        <w:t>a</w:t>
      </w:r>
      <w:proofErr w:type="spellEnd"/>
      <w:r w:rsidR="00585883">
        <w:rPr>
          <w:bCs/>
          <w:sz w:val="24"/>
          <w:szCs w:val="24"/>
        </w:rPr>
        <w:t xml:space="preserve"> lub czynna postać</w:t>
      </w:r>
      <w:r w:rsidRPr="00F439A9">
        <w:rPr>
          <w:bCs/>
          <w:sz w:val="24"/>
          <w:szCs w:val="24"/>
        </w:rPr>
        <w:t xml:space="preserve"> wrzodzie</w:t>
      </w:r>
      <w:r w:rsidR="00585883">
        <w:rPr>
          <w:bCs/>
          <w:sz w:val="24"/>
          <w:szCs w:val="24"/>
        </w:rPr>
        <w:t>jącego zapalenia jelita grubego. Ciężka niewydolność</w:t>
      </w:r>
      <w:r w:rsidRPr="00F439A9">
        <w:rPr>
          <w:bCs/>
          <w:sz w:val="24"/>
          <w:szCs w:val="24"/>
        </w:rPr>
        <w:t xml:space="preserve"> serca</w:t>
      </w:r>
      <w:r w:rsidR="00585883">
        <w:rPr>
          <w:bCs/>
          <w:sz w:val="24"/>
          <w:szCs w:val="24"/>
        </w:rPr>
        <w:t xml:space="preserve"> </w:t>
      </w:r>
      <w:r w:rsidR="00585883">
        <w:rPr>
          <w:sz w:val="22"/>
          <w:szCs w:val="22"/>
        </w:rPr>
        <w:t>(klasa IV wg NYHA)</w:t>
      </w:r>
      <w:r w:rsidR="00585883">
        <w:rPr>
          <w:bCs/>
          <w:sz w:val="24"/>
          <w:szCs w:val="24"/>
        </w:rPr>
        <w:t>.</w:t>
      </w:r>
      <w:r w:rsidRPr="00F439A9">
        <w:rPr>
          <w:bCs/>
          <w:sz w:val="24"/>
          <w:szCs w:val="24"/>
        </w:rPr>
        <w:t xml:space="preserve"> </w:t>
      </w:r>
      <w:r w:rsidR="00585883">
        <w:rPr>
          <w:bCs/>
          <w:sz w:val="24"/>
          <w:szCs w:val="24"/>
        </w:rPr>
        <w:t>Ciężkie zaburzenia</w:t>
      </w:r>
      <w:r w:rsidRPr="00F439A9">
        <w:rPr>
          <w:bCs/>
          <w:sz w:val="24"/>
          <w:szCs w:val="24"/>
        </w:rPr>
        <w:t xml:space="preserve"> czynn</w:t>
      </w:r>
      <w:r w:rsidR="00585883">
        <w:rPr>
          <w:bCs/>
          <w:sz w:val="24"/>
          <w:szCs w:val="24"/>
        </w:rPr>
        <w:t>ości nerek (GFR &lt;30 ml/min). Ciężkie zaburzenia czynności wątroby. P</w:t>
      </w:r>
      <w:r w:rsidR="00024B52">
        <w:rPr>
          <w:bCs/>
          <w:sz w:val="24"/>
          <w:szCs w:val="24"/>
        </w:rPr>
        <w:t>ocząwszy od 6 </w:t>
      </w:r>
      <w:r w:rsidRPr="00F439A9">
        <w:rPr>
          <w:bCs/>
          <w:sz w:val="24"/>
          <w:szCs w:val="24"/>
        </w:rPr>
        <w:t>miesiąca ciąży.</w:t>
      </w:r>
    </w:p>
    <w:p w:rsidR="00A321E7" w:rsidRDefault="00A13039" w:rsidP="00A13039">
      <w:r w:rsidRPr="00F439A9">
        <w:rPr>
          <w:b/>
          <w:sz w:val="24"/>
          <w:szCs w:val="24"/>
        </w:rPr>
        <w:t xml:space="preserve">Podmiot odpowiedzialny: </w:t>
      </w:r>
      <w:proofErr w:type="spellStart"/>
      <w:r w:rsidRPr="00F439A9">
        <w:rPr>
          <w:sz w:val="24"/>
          <w:szCs w:val="24"/>
        </w:rPr>
        <w:t>Biofarm</w:t>
      </w:r>
      <w:proofErr w:type="spellEnd"/>
      <w:r w:rsidRPr="00F439A9">
        <w:rPr>
          <w:sz w:val="24"/>
          <w:szCs w:val="24"/>
        </w:rPr>
        <w:t xml:space="preserve"> Sp. z o.o., ul. Wałbrzyska 13, 60-198 Poznań</w:t>
      </w:r>
    </w:p>
    <w:sectPr w:rsidR="00A321E7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195"/>
    <w:multiLevelType w:val="hybridMultilevel"/>
    <w:tmpl w:val="5BAC57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039"/>
    <w:rsid w:val="00024B52"/>
    <w:rsid w:val="00585883"/>
    <w:rsid w:val="005B1F47"/>
    <w:rsid w:val="006D3D51"/>
    <w:rsid w:val="00777EBC"/>
    <w:rsid w:val="00A13039"/>
    <w:rsid w:val="00A321E7"/>
    <w:rsid w:val="00C61C44"/>
    <w:rsid w:val="00C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24B52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B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5</cp:revision>
  <dcterms:created xsi:type="dcterms:W3CDTF">2015-02-04T11:55:00Z</dcterms:created>
  <dcterms:modified xsi:type="dcterms:W3CDTF">2017-10-16T07:39:00Z</dcterms:modified>
</cp:coreProperties>
</file>