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88" w:rsidRPr="00BA60CD" w:rsidRDefault="00D54A88" w:rsidP="00DF2651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>Sk</w:t>
      </w:r>
      <w:r w:rsidR="00DF2651">
        <w:rPr>
          <w:b/>
          <w:sz w:val="18"/>
          <w:szCs w:val="18"/>
        </w:rPr>
        <w:t xml:space="preserve">rócona informacja o leku: </w:t>
      </w:r>
      <w:proofErr w:type="spellStart"/>
      <w:r w:rsidR="00DF2651" w:rsidRPr="00DF2651">
        <w:rPr>
          <w:b/>
          <w:sz w:val="18"/>
          <w:szCs w:val="18"/>
        </w:rPr>
        <w:t>Magnefar</w:t>
      </w:r>
      <w:proofErr w:type="spellEnd"/>
      <w:r w:rsidR="00DF2651" w:rsidRPr="00DF2651">
        <w:rPr>
          <w:b/>
          <w:sz w:val="18"/>
          <w:szCs w:val="18"/>
        </w:rPr>
        <w:t xml:space="preserve"> B</w:t>
      </w:r>
      <w:r w:rsidR="00DF2651" w:rsidRPr="00AC26A9">
        <w:rPr>
          <w:b/>
          <w:sz w:val="18"/>
          <w:szCs w:val="18"/>
          <w:vertAlign w:val="subscript"/>
        </w:rPr>
        <w:t>6</w:t>
      </w:r>
      <w:r w:rsidR="00DF2651" w:rsidRPr="00DF2651">
        <w:rPr>
          <w:b/>
          <w:sz w:val="18"/>
          <w:szCs w:val="18"/>
        </w:rPr>
        <w:t xml:space="preserve"> Forte</w:t>
      </w:r>
      <w:r w:rsidR="00DF2651">
        <w:rPr>
          <w:b/>
          <w:sz w:val="18"/>
          <w:szCs w:val="18"/>
        </w:rPr>
        <w:t xml:space="preserve"> </w:t>
      </w:r>
    </w:p>
    <w:p w:rsidR="00D54A88" w:rsidRPr="00BA60CD" w:rsidRDefault="00D54A88" w:rsidP="00D54A88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F2651" w:rsidRPr="00DF2651" w:rsidRDefault="00DF2651" w:rsidP="00DF2651">
      <w:pPr>
        <w:rPr>
          <w:bCs/>
          <w:sz w:val="18"/>
          <w:szCs w:val="18"/>
        </w:rPr>
      </w:pPr>
      <w:proofErr w:type="spellStart"/>
      <w:r w:rsidRPr="00DF2651">
        <w:rPr>
          <w:b/>
          <w:bCs/>
          <w:sz w:val="18"/>
          <w:szCs w:val="18"/>
        </w:rPr>
        <w:t>Magnefar</w:t>
      </w:r>
      <w:proofErr w:type="spellEnd"/>
      <w:r w:rsidRPr="00DF2651">
        <w:rPr>
          <w:b/>
          <w:bCs/>
          <w:sz w:val="18"/>
          <w:szCs w:val="18"/>
        </w:rPr>
        <w:t xml:space="preserve"> B</w:t>
      </w:r>
      <w:r w:rsidRPr="00AC26A9">
        <w:rPr>
          <w:b/>
          <w:bCs/>
          <w:sz w:val="18"/>
          <w:szCs w:val="18"/>
          <w:vertAlign w:val="subscript"/>
        </w:rPr>
        <w:t>6</w:t>
      </w:r>
      <w:r w:rsidRPr="00DF2651">
        <w:rPr>
          <w:b/>
          <w:bCs/>
          <w:sz w:val="18"/>
          <w:szCs w:val="18"/>
        </w:rPr>
        <w:t xml:space="preserve"> Forte</w:t>
      </w:r>
      <w:r>
        <w:rPr>
          <w:bCs/>
          <w:sz w:val="18"/>
          <w:szCs w:val="18"/>
        </w:rPr>
        <w:t xml:space="preserve">: </w:t>
      </w:r>
      <w:r w:rsidRPr="00DF2651">
        <w:rPr>
          <w:bCs/>
          <w:sz w:val="18"/>
          <w:szCs w:val="18"/>
        </w:rPr>
        <w:t>1 tabletka powlekana zawiera 100 mg jonów magnezu w postaci magnezu cytrynianu (</w:t>
      </w:r>
      <w:proofErr w:type="spellStart"/>
      <w:r w:rsidRPr="00AC26A9">
        <w:rPr>
          <w:bCs/>
          <w:i/>
          <w:sz w:val="18"/>
          <w:szCs w:val="18"/>
        </w:rPr>
        <w:t>Magnesii</w:t>
      </w:r>
      <w:proofErr w:type="spellEnd"/>
      <w:r w:rsidRPr="00AC26A9">
        <w:rPr>
          <w:bCs/>
          <w:i/>
          <w:sz w:val="18"/>
          <w:szCs w:val="18"/>
        </w:rPr>
        <w:t xml:space="preserve"> </w:t>
      </w:r>
      <w:proofErr w:type="spellStart"/>
      <w:r w:rsidRPr="00AC26A9">
        <w:rPr>
          <w:bCs/>
          <w:i/>
          <w:sz w:val="18"/>
          <w:szCs w:val="18"/>
        </w:rPr>
        <w:t>citras</w:t>
      </w:r>
      <w:proofErr w:type="spellEnd"/>
      <w:r w:rsidRPr="00DF2651">
        <w:rPr>
          <w:bCs/>
          <w:sz w:val="18"/>
          <w:szCs w:val="18"/>
        </w:rPr>
        <w:t>) oraz 10,10 mg pirydoksyny chlorowodorku (</w:t>
      </w:r>
      <w:proofErr w:type="spellStart"/>
      <w:r w:rsidRPr="00AC26A9">
        <w:rPr>
          <w:bCs/>
          <w:i/>
          <w:sz w:val="18"/>
          <w:szCs w:val="18"/>
        </w:rPr>
        <w:t>Pyridoxini</w:t>
      </w:r>
      <w:proofErr w:type="spellEnd"/>
      <w:r w:rsidRPr="00AC26A9">
        <w:rPr>
          <w:bCs/>
          <w:i/>
          <w:sz w:val="18"/>
          <w:szCs w:val="18"/>
        </w:rPr>
        <w:t xml:space="preserve"> </w:t>
      </w:r>
      <w:proofErr w:type="spellStart"/>
      <w:r w:rsidRPr="00AC26A9">
        <w:rPr>
          <w:bCs/>
          <w:i/>
          <w:sz w:val="18"/>
          <w:szCs w:val="18"/>
        </w:rPr>
        <w:t>hydrochloridum</w:t>
      </w:r>
      <w:proofErr w:type="spellEnd"/>
      <w:r w:rsidRPr="00DF2651">
        <w:rPr>
          <w:bCs/>
          <w:sz w:val="18"/>
          <w:szCs w:val="18"/>
        </w:rPr>
        <w:t>).</w:t>
      </w:r>
    </w:p>
    <w:p w:rsidR="00DF2651" w:rsidRPr="00DF2651" w:rsidRDefault="00D54A88" w:rsidP="00DF2651">
      <w:pPr>
        <w:suppressAutoHyphens w:val="0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Wskazania do stosowania</w:t>
      </w:r>
      <w:r w:rsidRPr="00DF2651">
        <w:rPr>
          <w:bCs/>
          <w:sz w:val="18"/>
          <w:szCs w:val="18"/>
        </w:rPr>
        <w:t>:</w:t>
      </w:r>
      <w:r w:rsidR="00DF2651" w:rsidRPr="00DF2651">
        <w:rPr>
          <w:bCs/>
          <w:sz w:val="18"/>
          <w:szCs w:val="18"/>
        </w:rPr>
        <w:t xml:space="preserve"> </w:t>
      </w:r>
      <w:r w:rsidRPr="00DF2651">
        <w:rPr>
          <w:bCs/>
          <w:sz w:val="18"/>
          <w:szCs w:val="18"/>
        </w:rPr>
        <w:t xml:space="preserve"> </w:t>
      </w:r>
      <w:r w:rsidR="00AC26A9">
        <w:rPr>
          <w:bCs/>
          <w:sz w:val="18"/>
          <w:szCs w:val="18"/>
        </w:rPr>
        <w:t>produkt leczniczy</w:t>
      </w:r>
      <w:r w:rsidR="00DF2651" w:rsidRPr="00DF2651">
        <w:rPr>
          <w:bCs/>
          <w:sz w:val="18"/>
          <w:szCs w:val="18"/>
        </w:rPr>
        <w:t xml:space="preserve"> </w:t>
      </w:r>
      <w:proofErr w:type="spellStart"/>
      <w:r w:rsidR="00AC26A9">
        <w:rPr>
          <w:bCs/>
          <w:sz w:val="18"/>
          <w:szCs w:val="18"/>
        </w:rPr>
        <w:t>Magnefar</w:t>
      </w:r>
      <w:proofErr w:type="spellEnd"/>
      <w:r w:rsidR="00AC26A9">
        <w:rPr>
          <w:bCs/>
          <w:sz w:val="18"/>
          <w:szCs w:val="18"/>
        </w:rPr>
        <w:t xml:space="preserve"> B</w:t>
      </w:r>
      <w:r w:rsidR="00AC26A9" w:rsidRPr="00AC26A9">
        <w:rPr>
          <w:bCs/>
          <w:sz w:val="18"/>
          <w:szCs w:val="18"/>
          <w:vertAlign w:val="subscript"/>
        </w:rPr>
        <w:t>6</w:t>
      </w:r>
      <w:r w:rsidR="00AC26A9">
        <w:rPr>
          <w:bCs/>
          <w:sz w:val="18"/>
          <w:szCs w:val="18"/>
        </w:rPr>
        <w:t xml:space="preserve"> Forte jest zalecany</w:t>
      </w:r>
      <w:r w:rsidR="00DF2651" w:rsidRPr="00DF2651">
        <w:rPr>
          <w:bCs/>
          <w:sz w:val="18"/>
          <w:szCs w:val="18"/>
        </w:rPr>
        <w:t xml:space="preserve"> w leczeniu niedoboru magnezu. Występowanie poniżej wymienionych objawów może</w:t>
      </w:r>
      <w:r w:rsidR="00DF2651">
        <w:rPr>
          <w:bCs/>
          <w:sz w:val="18"/>
          <w:szCs w:val="18"/>
        </w:rPr>
        <w:t xml:space="preserve"> wskazywać na niedobór magnezu: </w:t>
      </w:r>
      <w:r w:rsidR="00DF2651" w:rsidRPr="00DF2651">
        <w:rPr>
          <w:bCs/>
          <w:sz w:val="18"/>
          <w:szCs w:val="18"/>
        </w:rPr>
        <w:t>nerwowość, drażliwość, wahania nastroju, łagodny lęk, niepokój, przejściowe uczucie zmęczenia, ospałość, zaburzenia snu o niewielkim nasileniu;</w:t>
      </w:r>
    </w:p>
    <w:p w:rsidR="00D54A88" w:rsidRPr="00DF2651" w:rsidRDefault="00DF2651" w:rsidP="00DF2651">
      <w:pPr>
        <w:suppressAutoHyphens w:val="0"/>
        <w:rPr>
          <w:bCs/>
          <w:sz w:val="18"/>
          <w:szCs w:val="18"/>
        </w:rPr>
      </w:pPr>
      <w:r w:rsidRPr="00DF2651">
        <w:rPr>
          <w:bCs/>
          <w:sz w:val="18"/>
          <w:szCs w:val="18"/>
        </w:rPr>
        <w:t xml:space="preserve">objawy lęku, takie jak </w:t>
      </w:r>
      <w:r w:rsidR="003818FE">
        <w:rPr>
          <w:bCs/>
          <w:sz w:val="18"/>
          <w:szCs w:val="18"/>
        </w:rPr>
        <w:t>s</w:t>
      </w:r>
      <w:bookmarkStart w:id="0" w:name="_GoBack"/>
      <w:bookmarkEnd w:id="0"/>
      <w:r w:rsidRPr="00DF2651">
        <w:rPr>
          <w:bCs/>
          <w:sz w:val="18"/>
          <w:szCs w:val="18"/>
        </w:rPr>
        <w:t>kurcze przewodu pokarmowego lub kołatan</w:t>
      </w:r>
      <w:r>
        <w:rPr>
          <w:bCs/>
          <w:sz w:val="18"/>
          <w:szCs w:val="18"/>
        </w:rPr>
        <w:t xml:space="preserve">ie serca (bez zaburzeń serca); </w:t>
      </w:r>
      <w:r w:rsidRPr="00DF2651">
        <w:rPr>
          <w:bCs/>
          <w:sz w:val="18"/>
          <w:szCs w:val="18"/>
        </w:rPr>
        <w:t>skurcze mię</w:t>
      </w:r>
      <w:r>
        <w:rPr>
          <w:bCs/>
          <w:sz w:val="18"/>
          <w:szCs w:val="18"/>
        </w:rPr>
        <w:t xml:space="preserve">śni, mrowienie, drganie powiek. </w:t>
      </w:r>
      <w:r w:rsidRPr="00DF2651">
        <w:rPr>
          <w:bCs/>
          <w:sz w:val="18"/>
          <w:szCs w:val="18"/>
        </w:rPr>
        <w:t>Produkty należy stosować po wykluczeniu innych przyczyn objawów niż niedobór magnezu oraz gdy osiągnięcie poprawy lub zwiększenie podaży magnezu nie jest możliwe przez zastosowani</w:t>
      </w:r>
      <w:r w:rsidR="00AE6BA9">
        <w:rPr>
          <w:bCs/>
          <w:sz w:val="18"/>
          <w:szCs w:val="18"/>
        </w:rPr>
        <w:t xml:space="preserve">e prawidłowej diety. </w:t>
      </w:r>
      <w:r w:rsidRPr="00DF2651">
        <w:rPr>
          <w:bCs/>
          <w:sz w:val="18"/>
          <w:szCs w:val="18"/>
        </w:rPr>
        <w:t xml:space="preserve">W przypadku braku poprawy po miesiącu stosowania produktu </w:t>
      </w:r>
      <w:r w:rsidR="00AC26A9">
        <w:rPr>
          <w:bCs/>
          <w:sz w:val="18"/>
          <w:szCs w:val="18"/>
        </w:rPr>
        <w:t xml:space="preserve">leczniczego </w:t>
      </w:r>
      <w:proofErr w:type="spellStart"/>
      <w:r w:rsidRPr="00DF2651">
        <w:rPr>
          <w:bCs/>
          <w:sz w:val="18"/>
          <w:szCs w:val="18"/>
        </w:rPr>
        <w:t>Magnefar</w:t>
      </w:r>
      <w:proofErr w:type="spellEnd"/>
      <w:r w:rsidRPr="00DF2651">
        <w:rPr>
          <w:bCs/>
          <w:sz w:val="18"/>
          <w:szCs w:val="18"/>
        </w:rPr>
        <w:t xml:space="preserve"> B</w:t>
      </w:r>
      <w:r w:rsidRPr="00AC26A9">
        <w:rPr>
          <w:bCs/>
          <w:sz w:val="18"/>
          <w:szCs w:val="18"/>
          <w:vertAlign w:val="subscript"/>
        </w:rPr>
        <w:t>6</w:t>
      </w:r>
      <w:r w:rsidRPr="00DF2651">
        <w:rPr>
          <w:bCs/>
          <w:sz w:val="18"/>
          <w:szCs w:val="18"/>
        </w:rPr>
        <w:t xml:space="preserve"> Forte kontynuowanie leczenia nie jest zalecane.</w:t>
      </w:r>
    </w:p>
    <w:p w:rsidR="00D54A88" w:rsidRPr="00BA60CD" w:rsidRDefault="00D54A88" w:rsidP="00AE6BA9">
      <w:pPr>
        <w:rPr>
          <w:b/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Przeciwwskazania: </w:t>
      </w:r>
      <w:r w:rsidR="00AE6BA9" w:rsidRPr="00AE6BA9">
        <w:rPr>
          <w:bCs/>
          <w:sz w:val="18"/>
          <w:szCs w:val="18"/>
        </w:rPr>
        <w:t xml:space="preserve">Nadwrażliwość na substancje czynne lub na którąkolwiek substancję pomocniczą. Produktu </w:t>
      </w:r>
      <w:proofErr w:type="spellStart"/>
      <w:r w:rsidR="00AE6BA9" w:rsidRPr="00AE6BA9">
        <w:rPr>
          <w:bCs/>
          <w:sz w:val="18"/>
          <w:szCs w:val="18"/>
        </w:rPr>
        <w:t>Magnefar</w:t>
      </w:r>
      <w:proofErr w:type="spellEnd"/>
      <w:r w:rsidR="00AE6BA9" w:rsidRPr="00AE6BA9">
        <w:rPr>
          <w:bCs/>
          <w:sz w:val="18"/>
          <w:szCs w:val="18"/>
        </w:rPr>
        <w:t xml:space="preserve"> B</w:t>
      </w:r>
      <w:r w:rsidR="00AE6BA9" w:rsidRPr="00AC26A9">
        <w:rPr>
          <w:bCs/>
          <w:sz w:val="18"/>
          <w:szCs w:val="18"/>
          <w:vertAlign w:val="subscript"/>
        </w:rPr>
        <w:t xml:space="preserve">6 </w:t>
      </w:r>
      <w:r w:rsidR="00AE6BA9" w:rsidRPr="00AE6BA9">
        <w:rPr>
          <w:bCs/>
          <w:sz w:val="18"/>
          <w:szCs w:val="18"/>
        </w:rPr>
        <w:t xml:space="preserve">Forte nie należy stosować przy </w:t>
      </w:r>
      <w:proofErr w:type="spellStart"/>
      <w:r w:rsidR="00AE6BA9" w:rsidRPr="00AE6BA9">
        <w:rPr>
          <w:bCs/>
          <w:sz w:val="18"/>
          <w:szCs w:val="18"/>
        </w:rPr>
        <w:t>hipermagnezemii</w:t>
      </w:r>
      <w:proofErr w:type="spellEnd"/>
      <w:r w:rsidR="00AE6BA9" w:rsidRPr="00AE6BA9">
        <w:rPr>
          <w:bCs/>
          <w:sz w:val="18"/>
          <w:szCs w:val="18"/>
        </w:rPr>
        <w:t>, ostrej niewydolności nerek (</w:t>
      </w:r>
      <w:proofErr w:type="spellStart"/>
      <w:r w:rsidR="00AE6BA9" w:rsidRPr="00AE6BA9">
        <w:rPr>
          <w:bCs/>
          <w:sz w:val="18"/>
          <w:szCs w:val="18"/>
        </w:rPr>
        <w:t>klirens</w:t>
      </w:r>
      <w:proofErr w:type="spellEnd"/>
      <w:r w:rsidR="00AE6BA9" w:rsidRPr="00AE6BA9">
        <w:rPr>
          <w:bCs/>
          <w:sz w:val="18"/>
          <w:szCs w:val="18"/>
        </w:rPr>
        <w:t xml:space="preserve"> kreatyniny &lt; 30ml/min.), znacznym niedociśnieniu tętniczym, bloku przedsionkowo-komorowym oraz </w:t>
      </w:r>
      <w:proofErr w:type="spellStart"/>
      <w:r w:rsidR="00AE6BA9" w:rsidRPr="00AE6BA9">
        <w:rPr>
          <w:bCs/>
          <w:i/>
          <w:sz w:val="18"/>
          <w:szCs w:val="18"/>
        </w:rPr>
        <w:t>myasthenia</w:t>
      </w:r>
      <w:proofErr w:type="spellEnd"/>
      <w:r w:rsidR="00AE6BA9" w:rsidRPr="00AE6BA9">
        <w:rPr>
          <w:bCs/>
          <w:i/>
          <w:sz w:val="18"/>
          <w:szCs w:val="18"/>
        </w:rPr>
        <w:t xml:space="preserve"> </w:t>
      </w:r>
      <w:proofErr w:type="spellStart"/>
      <w:r w:rsidR="00AE6BA9" w:rsidRPr="00AE6BA9">
        <w:rPr>
          <w:bCs/>
          <w:i/>
          <w:sz w:val="18"/>
          <w:szCs w:val="18"/>
        </w:rPr>
        <w:t>gravis</w:t>
      </w:r>
      <w:proofErr w:type="spellEnd"/>
      <w:r w:rsidR="00AE6BA9" w:rsidRPr="00AE6BA9">
        <w:rPr>
          <w:bCs/>
          <w:sz w:val="18"/>
          <w:szCs w:val="18"/>
        </w:rPr>
        <w:t>.</w:t>
      </w:r>
    </w:p>
    <w:p w:rsidR="00D54A88" w:rsidRPr="00BA60CD" w:rsidRDefault="00D54A88" w:rsidP="00D54A88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4041AC" w:rsidRDefault="004041AC"/>
    <w:sectPr w:rsidR="004041AC" w:rsidSect="00F47341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E1" w:rsidRDefault="00B42CD8">
      <w:r>
        <w:separator/>
      </w:r>
    </w:p>
  </w:endnote>
  <w:endnote w:type="continuationSeparator" w:id="0">
    <w:p w:rsidR="00973CE1" w:rsidRDefault="00B4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7" w:rsidRDefault="00D54A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D11E8" wp14:editId="4704A9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86690"/>
              <wp:effectExtent l="0" t="635" r="0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EA7" w:rsidRDefault="00D54A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818F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11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4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ygQIAAAM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" stroked="f">
              <v:textbox inset="0,0,0,0">
                <w:txbxContent>
                  <w:p w:rsidR="00332EA7" w:rsidRDefault="00D54A8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818F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E1" w:rsidRDefault="00B42CD8">
      <w:r>
        <w:separator/>
      </w:r>
    </w:p>
  </w:footnote>
  <w:footnote w:type="continuationSeparator" w:id="0">
    <w:p w:rsidR="00973CE1" w:rsidRDefault="00B4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8"/>
    <w:rsid w:val="001D66EB"/>
    <w:rsid w:val="003818FE"/>
    <w:rsid w:val="004041AC"/>
    <w:rsid w:val="00973CE1"/>
    <w:rsid w:val="00AC26A9"/>
    <w:rsid w:val="00AE6BA9"/>
    <w:rsid w:val="00B42CD8"/>
    <w:rsid w:val="00D54A88"/>
    <w:rsid w:val="00D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FE76-B83B-4F33-BB96-CF8E6D2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4A88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4A88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D54A88"/>
  </w:style>
  <w:style w:type="paragraph" w:styleId="Stopka">
    <w:name w:val="footer"/>
    <w:basedOn w:val="Normalny"/>
    <w:link w:val="StopkaZnak"/>
    <w:uiPriority w:val="99"/>
    <w:rsid w:val="00D54A8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4A8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54A88"/>
    <w:pPr>
      <w:suppressAutoHyphens w:val="0"/>
    </w:pPr>
    <w:rPr>
      <w:szCs w:val="20"/>
      <w:lang w:val="en-AU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4A8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przypisukocowego">
    <w:name w:val="endnote text"/>
    <w:basedOn w:val="Normalny"/>
    <w:link w:val="TekstprzypisukocowegoZnak"/>
    <w:semiHidden/>
    <w:rsid w:val="00D54A88"/>
    <w:pPr>
      <w:tabs>
        <w:tab w:val="left" w:pos="567"/>
      </w:tabs>
      <w:suppressAutoHyphens w:val="0"/>
    </w:pPr>
    <w:rPr>
      <w:sz w:val="22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A8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Antoniewicz</dc:creator>
  <cp:keywords/>
  <dc:description/>
  <cp:lastModifiedBy>Sandra Pachacz</cp:lastModifiedBy>
  <cp:revision>3</cp:revision>
  <dcterms:created xsi:type="dcterms:W3CDTF">2019-10-02T11:16:00Z</dcterms:created>
  <dcterms:modified xsi:type="dcterms:W3CDTF">2021-04-23T12:21:00Z</dcterms:modified>
</cp:coreProperties>
</file>