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3977" w14:textId="2F44679F" w:rsidR="000931A1" w:rsidRPr="00BA60CD" w:rsidRDefault="000931A1" w:rsidP="00F409F0">
      <w:pPr>
        <w:numPr>
          <w:ilvl w:val="0"/>
          <w:numId w:val="1"/>
        </w:numPr>
        <w:ind w:right="-144"/>
        <w:jc w:val="both"/>
        <w:rPr>
          <w:b/>
          <w:sz w:val="18"/>
          <w:szCs w:val="18"/>
        </w:rPr>
      </w:pPr>
      <w:r w:rsidRPr="00BA60CD">
        <w:rPr>
          <w:b/>
          <w:sz w:val="18"/>
          <w:szCs w:val="18"/>
        </w:rPr>
        <w:t xml:space="preserve">Skrócona informacja o leku: </w:t>
      </w:r>
      <w:r w:rsidR="008C1623" w:rsidRPr="008C1623">
        <w:rPr>
          <w:b/>
          <w:sz w:val="18"/>
          <w:szCs w:val="18"/>
          <w:lang w:bidi="pl-PL"/>
        </w:rPr>
        <w:t>Aviorexan</w:t>
      </w:r>
    </w:p>
    <w:p w14:paraId="715D4FC3" w14:textId="77777777" w:rsidR="000931A1" w:rsidRPr="00BA60CD" w:rsidRDefault="000931A1" w:rsidP="00F409F0">
      <w:pPr>
        <w:pStyle w:val="Nagwek4"/>
        <w:numPr>
          <w:ilvl w:val="3"/>
          <w:numId w:val="1"/>
        </w:numPr>
        <w:jc w:val="both"/>
        <w:rPr>
          <w:sz w:val="18"/>
          <w:szCs w:val="18"/>
          <w:lang w:val="pl-PL"/>
        </w:rPr>
      </w:pPr>
    </w:p>
    <w:p w14:paraId="23C9DB43" w14:textId="77777777" w:rsidR="000931A1" w:rsidRPr="00BA60CD" w:rsidRDefault="000931A1" w:rsidP="00F409F0">
      <w:pPr>
        <w:jc w:val="both"/>
        <w:rPr>
          <w:sz w:val="18"/>
          <w:szCs w:val="18"/>
        </w:rPr>
      </w:pPr>
    </w:p>
    <w:p w14:paraId="04E262E6" w14:textId="0FF8B21C" w:rsidR="00477E0E" w:rsidRPr="008C1623" w:rsidRDefault="008C1623" w:rsidP="00477E0E">
      <w:pPr>
        <w:jc w:val="both"/>
        <w:rPr>
          <w:b/>
          <w:sz w:val="18"/>
          <w:szCs w:val="18"/>
        </w:rPr>
      </w:pPr>
      <w:r w:rsidRPr="008C1623">
        <w:rPr>
          <w:b/>
          <w:sz w:val="18"/>
          <w:szCs w:val="18"/>
          <w:lang w:bidi="pl-PL"/>
        </w:rPr>
        <w:t>Aviorexan, 50 mg + 50 mg, tabletki powlekane</w:t>
      </w:r>
      <w:r w:rsidR="00477E0E">
        <w:rPr>
          <w:b/>
          <w:sz w:val="18"/>
          <w:szCs w:val="18"/>
        </w:rPr>
        <w:t xml:space="preserve">: </w:t>
      </w:r>
      <w:r w:rsidRPr="008C1623">
        <w:rPr>
          <w:sz w:val="18"/>
          <w:szCs w:val="18"/>
        </w:rPr>
        <w:t>każda tabletka powlekana zawiera 50 mg dimenhydraminy (</w:t>
      </w:r>
      <w:r w:rsidRPr="008C1623">
        <w:rPr>
          <w:i/>
          <w:iCs/>
          <w:sz w:val="18"/>
          <w:szCs w:val="18"/>
        </w:rPr>
        <w:t>Dimenhydrinatum</w:t>
      </w:r>
      <w:r w:rsidRPr="008C1623">
        <w:rPr>
          <w:sz w:val="18"/>
          <w:szCs w:val="18"/>
        </w:rPr>
        <w:t>) i 50 mg kofeiny (</w:t>
      </w:r>
      <w:r w:rsidRPr="008C1623">
        <w:rPr>
          <w:i/>
          <w:iCs/>
          <w:sz w:val="18"/>
          <w:szCs w:val="18"/>
        </w:rPr>
        <w:t>Coffeinum</w:t>
      </w:r>
      <w:r w:rsidRPr="008C1623">
        <w:rPr>
          <w:sz w:val="18"/>
          <w:szCs w:val="18"/>
        </w:rPr>
        <w:t>).</w:t>
      </w:r>
    </w:p>
    <w:p w14:paraId="6618AC49" w14:textId="7C8983DC" w:rsidR="000931A1" w:rsidRPr="000D0DF6" w:rsidRDefault="000931A1" w:rsidP="008C1623">
      <w:pPr>
        <w:jc w:val="both"/>
        <w:rPr>
          <w:sz w:val="18"/>
          <w:szCs w:val="18"/>
        </w:rPr>
      </w:pPr>
      <w:r w:rsidRPr="00BA60CD">
        <w:rPr>
          <w:b/>
          <w:sz w:val="18"/>
          <w:szCs w:val="18"/>
        </w:rPr>
        <w:t xml:space="preserve">Kod i grupa farmakoterapeutyczna według klasyfikacji </w:t>
      </w:r>
      <w:r w:rsidRPr="00BA60CD">
        <w:rPr>
          <w:b/>
          <w:bCs/>
          <w:sz w:val="18"/>
          <w:szCs w:val="18"/>
        </w:rPr>
        <w:t>ATC</w:t>
      </w:r>
      <w:r w:rsidRPr="000D0DF6">
        <w:rPr>
          <w:bCs/>
          <w:sz w:val="18"/>
          <w:szCs w:val="18"/>
        </w:rPr>
        <w:t>:</w:t>
      </w:r>
      <w:r w:rsidR="00F0708C" w:rsidRPr="000D0DF6">
        <w:rPr>
          <w:sz w:val="18"/>
          <w:szCs w:val="18"/>
        </w:rPr>
        <w:t xml:space="preserve"> </w:t>
      </w:r>
      <w:r w:rsidR="008C1623" w:rsidRPr="008C1623">
        <w:rPr>
          <w:sz w:val="18"/>
          <w:szCs w:val="18"/>
          <w:lang w:bidi="pl-PL"/>
        </w:rPr>
        <w:t>leki przeciwwymiotne, kod ATC: A04AD</w:t>
      </w:r>
      <w:r w:rsidR="008C1623">
        <w:rPr>
          <w:sz w:val="18"/>
          <w:szCs w:val="18"/>
          <w:lang w:bidi="pl-PL"/>
        </w:rPr>
        <w:t>.</w:t>
      </w:r>
    </w:p>
    <w:p w14:paraId="73270F0C" w14:textId="0607C00F" w:rsidR="00477E0E" w:rsidRPr="008C1623" w:rsidRDefault="000931A1" w:rsidP="008C1623">
      <w:pPr>
        <w:jc w:val="both"/>
        <w:rPr>
          <w:bCs/>
          <w:sz w:val="18"/>
          <w:szCs w:val="18"/>
        </w:rPr>
      </w:pPr>
      <w:r w:rsidRPr="00BA60CD">
        <w:rPr>
          <w:b/>
          <w:bCs/>
          <w:sz w:val="18"/>
          <w:szCs w:val="18"/>
        </w:rPr>
        <w:t>Wskazania do stosowania:</w:t>
      </w:r>
      <w:r w:rsidR="000D0DF6">
        <w:rPr>
          <w:b/>
          <w:bCs/>
          <w:sz w:val="18"/>
          <w:szCs w:val="18"/>
        </w:rPr>
        <w:t xml:space="preserve"> </w:t>
      </w:r>
      <w:r w:rsidR="008C1623" w:rsidRPr="008C1623">
        <w:rPr>
          <w:bCs/>
          <w:sz w:val="18"/>
          <w:szCs w:val="18"/>
        </w:rPr>
        <w:t>Zapobieganie i leczenie objawów w przebiegu choroby lokomocyjnej (nudności, wymioty, zawroty głowy).</w:t>
      </w:r>
    </w:p>
    <w:p w14:paraId="3E6B27DF" w14:textId="619BD4FB" w:rsidR="008C1623" w:rsidRPr="004A1632" w:rsidRDefault="000931A1" w:rsidP="004A1632">
      <w:pPr>
        <w:pStyle w:val="Tekstpodstawowy"/>
        <w:jc w:val="both"/>
        <w:rPr>
          <w:sz w:val="18"/>
          <w:szCs w:val="18"/>
          <w:lang w:val="pl-PL" w:eastAsia="pl-PL" w:bidi="pl-PL"/>
        </w:rPr>
      </w:pPr>
      <w:r w:rsidRPr="00BA60CD">
        <w:rPr>
          <w:b/>
          <w:bCs/>
          <w:sz w:val="18"/>
          <w:szCs w:val="18"/>
        </w:rPr>
        <w:t xml:space="preserve">Dawkowanie </w:t>
      </w:r>
      <w:r w:rsidRPr="009E43D2">
        <w:rPr>
          <w:b/>
          <w:bCs/>
          <w:sz w:val="18"/>
          <w:szCs w:val="18"/>
          <w:lang w:val="pl-PL"/>
        </w:rPr>
        <w:t>i sposób podawania:</w:t>
      </w:r>
      <w:r w:rsidRPr="00BA60CD">
        <w:rPr>
          <w:b/>
          <w:bCs/>
          <w:sz w:val="18"/>
          <w:szCs w:val="18"/>
        </w:rPr>
        <w:t xml:space="preserve"> </w:t>
      </w:r>
      <w:r w:rsidR="008C1623" w:rsidRPr="004A1632">
        <w:rPr>
          <w:sz w:val="18"/>
          <w:szCs w:val="18"/>
          <w:u w:val="single"/>
          <w:lang w:val="pl-PL" w:eastAsia="pl-PL" w:bidi="pl-PL"/>
        </w:rPr>
        <w:t>Dawkowanie</w:t>
      </w:r>
      <w:r w:rsidR="008C1623" w:rsidRPr="004A1632">
        <w:rPr>
          <w:sz w:val="18"/>
          <w:szCs w:val="18"/>
          <w:u w:val="single"/>
          <w:lang w:val="pl-PL" w:eastAsia="pl-PL" w:bidi="pl-PL"/>
        </w:rPr>
        <w:t xml:space="preserve">: </w:t>
      </w:r>
      <w:r w:rsidR="008C1623" w:rsidRPr="008C1623">
        <w:rPr>
          <w:i/>
          <w:sz w:val="18"/>
          <w:szCs w:val="18"/>
          <w:lang w:val="pl-PL" w:eastAsia="pl-PL" w:bidi="pl-PL"/>
        </w:rPr>
        <w:t>Dorośli i młodzież w wieku powyżej 12 lat</w:t>
      </w:r>
      <w:r w:rsidR="004A1632" w:rsidRPr="004A1632">
        <w:rPr>
          <w:i/>
          <w:sz w:val="18"/>
          <w:szCs w:val="18"/>
          <w:lang w:val="pl-PL" w:eastAsia="pl-PL" w:bidi="pl-PL"/>
        </w:rPr>
        <w:t>:</w:t>
      </w:r>
      <w:r w:rsidR="008C1623" w:rsidRPr="004A1632">
        <w:rPr>
          <w:i/>
          <w:sz w:val="18"/>
          <w:szCs w:val="18"/>
          <w:lang w:val="pl-PL" w:eastAsia="pl-PL" w:bidi="pl-PL"/>
        </w:rPr>
        <w:t xml:space="preserve"> </w:t>
      </w:r>
      <w:r w:rsidR="004A1632" w:rsidRPr="004A1632">
        <w:rPr>
          <w:sz w:val="18"/>
          <w:szCs w:val="18"/>
          <w:lang w:val="pl-PL" w:eastAsia="pl-PL" w:bidi="pl-PL"/>
        </w:rPr>
        <w:t>z</w:t>
      </w:r>
      <w:r w:rsidR="008C1623" w:rsidRPr="008C1623">
        <w:rPr>
          <w:sz w:val="18"/>
          <w:szCs w:val="18"/>
          <w:lang w:val="pl-PL" w:eastAsia="pl-PL" w:bidi="pl-PL"/>
        </w:rPr>
        <w:t>alecana dawka wynosi 50-100 mg dimenhydraminy i 50-100 mg kofeiny (1-2 tabletki).</w:t>
      </w:r>
      <w:r w:rsidR="008C1623" w:rsidRPr="004A1632">
        <w:rPr>
          <w:sz w:val="18"/>
          <w:szCs w:val="18"/>
          <w:lang w:val="pl-PL" w:eastAsia="pl-PL" w:bidi="pl-PL"/>
        </w:rPr>
        <w:t xml:space="preserve"> </w:t>
      </w:r>
      <w:r w:rsidR="008C1623" w:rsidRPr="008C1623">
        <w:rPr>
          <w:sz w:val="18"/>
          <w:szCs w:val="18"/>
          <w:lang w:val="pl-PL" w:eastAsia="pl-PL" w:bidi="pl-PL"/>
        </w:rPr>
        <w:t>W razie konieczności dawkę można powtórzyć po 4-6 godzinach.</w:t>
      </w:r>
      <w:r w:rsidR="008C1623" w:rsidRPr="004A1632">
        <w:rPr>
          <w:sz w:val="18"/>
          <w:szCs w:val="18"/>
          <w:lang w:val="pl-PL" w:eastAsia="pl-PL" w:bidi="pl-PL"/>
        </w:rPr>
        <w:t xml:space="preserve"> </w:t>
      </w:r>
      <w:r w:rsidR="008C1623" w:rsidRPr="008C1623">
        <w:rPr>
          <w:sz w:val="18"/>
          <w:szCs w:val="18"/>
          <w:lang w:val="pl-PL" w:eastAsia="pl-PL" w:bidi="pl-PL"/>
        </w:rPr>
        <w:t>Nie należy przekraczać dawki 8 tabletek na dobę.</w:t>
      </w:r>
      <w:r w:rsidR="008C1623" w:rsidRPr="004A1632">
        <w:rPr>
          <w:sz w:val="18"/>
          <w:szCs w:val="18"/>
          <w:lang w:val="pl-PL" w:eastAsia="pl-PL" w:bidi="pl-PL"/>
        </w:rPr>
        <w:t xml:space="preserve"> </w:t>
      </w:r>
      <w:r w:rsidR="008C1623" w:rsidRPr="008C1623">
        <w:rPr>
          <w:sz w:val="18"/>
          <w:szCs w:val="18"/>
          <w:lang w:val="pl-PL" w:eastAsia="pl-PL" w:bidi="pl-PL"/>
        </w:rPr>
        <w:t>W profilaktyce objawów choroby lokomocyjnej pierwszą dawkę należy zażyć nie później niż 30 minut przed planowaną podróżą.</w:t>
      </w:r>
      <w:r w:rsidR="008C1623" w:rsidRPr="004A1632">
        <w:rPr>
          <w:sz w:val="18"/>
          <w:szCs w:val="18"/>
          <w:lang w:val="pl-PL" w:eastAsia="pl-PL" w:bidi="pl-PL"/>
        </w:rPr>
        <w:t xml:space="preserve"> </w:t>
      </w:r>
      <w:r w:rsidR="008C1623" w:rsidRPr="008C1623">
        <w:rPr>
          <w:sz w:val="18"/>
          <w:szCs w:val="18"/>
          <w:u w:val="single"/>
          <w:lang w:val="pl-PL" w:eastAsia="pl-PL" w:bidi="pl-PL"/>
        </w:rPr>
        <w:t>Szczególne grupy pacjentów</w:t>
      </w:r>
      <w:r w:rsidR="008C1623" w:rsidRPr="004A1632">
        <w:rPr>
          <w:sz w:val="18"/>
          <w:szCs w:val="18"/>
          <w:u w:val="single"/>
          <w:lang w:val="pl-PL" w:eastAsia="pl-PL" w:bidi="pl-PL"/>
        </w:rPr>
        <w:t>:</w:t>
      </w:r>
      <w:r w:rsidR="004A1632" w:rsidRPr="004A1632">
        <w:rPr>
          <w:sz w:val="18"/>
          <w:szCs w:val="18"/>
          <w:u w:val="single"/>
          <w:lang w:val="pl-PL" w:eastAsia="pl-PL" w:bidi="pl-PL"/>
        </w:rPr>
        <w:t xml:space="preserve"> </w:t>
      </w:r>
      <w:r w:rsidR="008C1623" w:rsidRPr="008C1623">
        <w:rPr>
          <w:i/>
          <w:sz w:val="18"/>
          <w:szCs w:val="18"/>
          <w:lang w:val="pl-PL" w:eastAsia="pl-PL" w:bidi="pl-PL"/>
        </w:rPr>
        <w:t>Pacjenci z zaburzeniami czynności nerek lub wątroby</w:t>
      </w:r>
      <w:r w:rsidR="004A1632" w:rsidRPr="004A1632">
        <w:rPr>
          <w:i/>
          <w:sz w:val="18"/>
          <w:szCs w:val="18"/>
          <w:lang w:val="pl-PL" w:eastAsia="pl-PL" w:bidi="pl-PL"/>
        </w:rPr>
        <w:t>:</w:t>
      </w:r>
      <w:r w:rsidR="008C1623" w:rsidRPr="004A1632">
        <w:rPr>
          <w:sz w:val="18"/>
          <w:szCs w:val="18"/>
          <w:lang w:val="pl-PL" w:eastAsia="pl-PL" w:bidi="pl-PL"/>
        </w:rPr>
        <w:t xml:space="preserve"> </w:t>
      </w:r>
      <w:r w:rsidR="004A1632" w:rsidRPr="004A1632">
        <w:rPr>
          <w:sz w:val="18"/>
          <w:szCs w:val="18"/>
          <w:lang w:val="pl-PL" w:eastAsia="pl-PL" w:bidi="pl-PL"/>
        </w:rPr>
        <w:t>n</w:t>
      </w:r>
      <w:r w:rsidR="008C1623" w:rsidRPr="008C1623">
        <w:rPr>
          <w:sz w:val="18"/>
          <w:szCs w:val="18"/>
          <w:lang w:val="pl-PL" w:eastAsia="pl-PL" w:bidi="pl-PL"/>
        </w:rPr>
        <w:t>ależy zachować ostrożność u pacjentów z zaburzeniami czynności wątroby i (lub) nerek.</w:t>
      </w:r>
      <w:r w:rsidR="008C1623" w:rsidRPr="004A1632">
        <w:rPr>
          <w:sz w:val="18"/>
          <w:szCs w:val="18"/>
          <w:lang w:val="pl-PL" w:eastAsia="pl-PL" w:bidi="pl-PL"/>
        </w:rPr>
        <w:t xml:space="preserve"> </w:t>
      </w:r>
      <w:r w:rsidR="008C1623" w:rsidRPr="008C1623">
        <w:rPr>
          <w:sz w:val="18"/>
          <w:szCs w:val="18"/>
          <w:lang w:val="pl-PL" w:eastAsia="pl-PL" w:bidi="pl-PL"/>
        </w:rPr>
        <w:t>Produkt jest przeciwwskazany u pacjentów z ciężkimi zaburzeniami wątroby.</w:t>
      </w:r>
      <w:r w:rsidR="008C1623" w:rsidRPr="004A1632">
        <w:rPr>
          <w:sz w:val="18"/>
          <w:szCs w:val="18"/>
          <w:lang w:val="pl-PL" w:eastAsia="pl-PL" w:bidi="pl-PL"/>
        </w:rPr>
        <w:t xml:space="preserve"> </w:t>
      </w:r>
      <w:r w:rsidR="008C1623" w:rsidRPr="008C1623">
        <w:rPr>
          <w:i/>
          <w:sz w:val="18"/>
          <w:szCs w:val="18"/>
          <w:lang w:val="pl-PL" w:eastAsia="pl-PL" w:bidi="pl-PL"/>
        </w:rPr>
        <w:t>Pacjenci w podeszłym wieku</w:t>
      </w:r>
      <w:r w:rsidR="008C1623" w:rsidRPr="004A1632">
        <w:rPr>
          <w:sz w:val="18"/>
          <w:szCs w:val="18"/>
          <w:lang w:val="pl-PL" w:eastAsia="pl-PL" w:bidi="pl-PL"/>
        </w:rPr>
        <w:t xml:space="preserve"> </w:t>
      </w:r>
      <w:r w:rsidR="008C1623" w:rsidRPr="008C1623">
        <w:rPr>
          <w:sz w:val="18"/>
          <w:szCs w:val="18"/>
          <w:lang w:val="pl-PL" w:eastAsia="pl-PL" w:bidi="pl-PL"/>
        </w:rPr>
        <w:t>Należy zachować ostrożność u pacjentów w podeszłym wieku.</w:t>
      </w:r>
      <w:r w:rsidR="008C1623" w:rsidRPr="004A1632">
        <w:rPr>
          <w:sz w:val="18"/>
          <w:szCs w:val="18"/>
          <w:lang w:val="pl-PL" w:eastAsia="pl-PL" w:bidi="pl-PL"/>
        </w:rPr>
        <w:t xml:space="preserve"> </w:t>
      </w:r>
      <w:r w:rsidR="008C1623" w:rsidRPr="008C1623">
        <w:rPr>
          <w:i/>
          <w:sz w:val="18"/>
          <w:szCs w:val="18"/>
          <w:lang w:val="pl-PL" w:eastAsia="pl-PL" w:bidi="pl-PL"/>
        </w:rPr>
        <w:t>Dzieci i młodzież</w:t>
      </w:r>
      <w:r w:rsidR="004A1632" w:rsidRPr="004A1632">
        <w:rPr>
          <w:i/>
          <w:sz w:val="18"/>
          <w:szCs w:val="18"/>
          <w:lang w:val="pl-PL" w:eastAsia="pl-PL" w:bidi="pl-PL"/>
        </w:rPr>
        <w:t>:</w:t>
      </w:r>
      <w:r w:rsidR="008C1623" w:rsidRPr="004A1632">
        <w:rPr>
          <w:sz w:val="18"/>
          <w:szCs w:val="18"/>
          <w:lang w:val="pl-PL" w:eastAsia="pl-PL" w:bidi="pl-PL"/>
        </w:rPr>
        <w:t xml:space="preserve"> </w:t>
      </w:r>
      <w:r w:rsidR="004A1632" w:rsidRPr="004A1632">
        <w:rPr>
          <w:sz w:val="18"/>
          <w:szCs w:val="18"/>
          <w:lang w:val="pl-PL" w:eastAsia="pl-PL" w:bidi="pl-PL"/>
        </w:rPr>
        <w:t>p</w:t>
      </w:r>
      <w:r w:rsidR="008C1623" w:rsidRPr="008C1623">
        <w:rPr>
          <w:sz w:val="18"/>
          <w:szCs w:val="18"/>
          <w:lang w:val="pl-PL" w:eastAsia="pl-PL" w:bidi="pl-PL"/>
        </w:rPr>
        <w:t>rodukt nie jest zalecany dla dzieci w wieku poniżej 12 lat.</w:t>
      </w:r>
      <w:r w:rsidR="004A1632">
        <w:rPr>
          <w:sz w:val="18"/>
          <w:szCs w:val="18"/>
          <w:lang w:val="pl-PL" w:eastAsia="pl-PL" w:bidi="pl-PL"/>
        </w:rPr>
        <w:t xml:space="preserve"> Sposób podawania:  Podanie doustne.</w:t>
      </w:r>
      <w:r w:rsidR="000270CB">
        <w:rPr>
          <w:sz w:val="18"/>
          <w:szCs w:val="18"/>
          <w:lang w:val="pl-PL" w:eastAsia="pl-PL" w:bidi="pl-PL"/>
        </w:rPr>
        <w:t xml:space="preserve"> </w:t>
      </w:r>
      <w:r w:rsidR="004A1632" w:rsidRPr="004A1632">
        <w:rPr>
          <w:sz w:val="18"/>
          <w:szCs w:val="18"/>
          <w:lang w:val="pl-PL" w:eastAsia="pl-PL" w:bidi="pl-PL"/>
        </w:rPr>
        <w:t>Tabletkę należy połykać w całoś</w:t>
      </w:r>
      <w:r w:rsidR="004A1632">
        <w:rPr>
          <w:sz w:val="18"/>
          <w:szCs w:val="18"/>
          <w:lang w:val="pl-PL" w:eastAsia="pl-PL" w:bidi="pl-PL"/>
        </w:rPr>
        <w:t xml:space="preserve">ci, popijając wodą lub mlekiem. </w:t>
      </w:r>
      <w:r w:rsidR="004A1632" w:rsidRPr="004A1632">
        <w:rPr>
          <w:sz w:val="18"/>
          <w:szCs w:val="18"/>
          <w:lang w:val="pl-PL" w:eastAsia="pl-PL" w:bidi="pl-PL"/>
        </w:rPr>
        <w:t>Przyjmowanie produktu leczniczego Aviorexan z posiłkiem zmniejsza podrażnienie przewodu pokarmowego.</w:t>
      </w:r>
    </w:p>
    <w:p w14:paraId="16B4E37E" w14:textId="09AEDDBF" w:rsidR="004A1632" w:rsidRDefault="000931A1" w:rsidP="004A1632">
      <w:pPr>
        <w:suppressAutoHyphens w:val="0"/>
        <w:jc w:val="both"/>
        <w:rPr>
          <w:sz w:val="18"/>
          <w:szCs w:val="18"/>
          <w:lang w:eastAsia="pl-PL" w:bidi="pl-PL"/>
        </w:rPr>
      </w:pPr>
      <w:r w:rsidRPr="00BA60CD">
        <w:rPr>
          <w:b/>
          <w:bCs/>
          <w:sz w:val="18"/>
          <w:szCs w:val="18"/>
        </w:rPr>
        <w:t>Przeciwwskazania:</w:t>
      </w:r>
      <w:r w:rsidR="002C2A0B">
        <w:rPr>
          <w:b/>
          <w:bCs/>
          <w:sz w:val="18"/>
          <w:szCs w:val="18"/>
        </w:rPr>
        <w:t xml:space="preserve"> </w:t>
      </w:r>
      <w:r w:rsidR="004A1632" w:rsidRPr="004A1632">
        <w:rPr>
          <w:sz w:val="18"/>
          <w:szCs w:val="18"/>
          <w:lang w:eastAsia="pl-PL" w:bidi="pl-PL"/>
        </w:rPr>
        <w:t>Nadwrażliwość na substancję czynną lub na którąkolwiek substancję pomocniczą.</w:t>
      </w:r>
      <w:r w:rsidR="004A1632">
        <w:rPr>
          <w:sz w:val="18"/>
          <w:szCs w:val="18"/>
          <w:lang w:eastAsia="pl-PL" w:bidi="pl-PL"/>
        </w:rPr>
        <w:t xml:space="preserve"> </w:t>
      </w:r>
      <w:r w:rsidR="004A1632" w:rsidRPr="004A1632">
        <w:rPr>
          <w:sz w:val="18"/>
          <w:szCs w:val="18"/>
          <w:lang w:eastAsia="pl-PL" w:bidi="pl-PL"/>
        </w:rPr>
        <w:t>Porfiria.</w:t>
      </w:r>
      <w:r w:rsidR="004A1632">
        <w:rPr>
          <w:b/>
          <w:bCs/>
          <w:sz w:val="18"/>
          <w:szCs w:val="18"/>
        </w:rPr>
        <w:t xml:space="preserve"> </w:t>
      </w:r>
      <w:r w:rsidR="004A1632" w:rsidRPr="004A1632">
        <w:rPr>
          <w:sz w:val="18"/>
          <w:szCs w:val="18"/>
          <w:lang w:eastAsia="pl-PL" w:bidi="pl-PL"/>
        </w:rPr>
        <w:t>Ostry atak astmy.</w:t>
      </w:r>
      <w:r w:rsidR="004A1632">
        <w:rPr>
          <w:b/>
          <w:bCs/>
          <w:sz w:val="18"/>
          <w:szCs w:val="18"/>
        </w:rPr>
        <w:t xml:space="preserve"> </w:t>
      </w:r>
      <w:r w:rsidR="004A1632" w:rsidRPr="004A1632">
        <w:rPr>
          <w:sz w:val="18"/>
          <w:szCs w:val="18"/>
          <w:lang w:eastAsia="pl-PL" w:bidi="pl-PL"/>
        </w:rPr>
        <w:t>Ciężkie zaburzenia sercowo-naczyniowe.</w:t>
      </w:r>
      <w:r w:rsidR="004A1632">
        <w:rPr>
          <w:b/>
          <w:bCs/>
          <w:sz w:val="18"/>
          <w:szCs w:val="18"/>
        </w:rPr>
        <w:t xml:space="preserve"> </w:t>
      </w:r>
      <w:r w:rsidR="004A1632" w:rsidRPr="004A1632">
        <w:rPr>
          <w:sz w:val="18"/>
          <w:szCs w:val="18"/>
          <w:lang w:eastAsia="pl-PL" w:bidi="pl-PL"/>
        </w:rPr>
        <w:t>Niekontrolowane nadciśnienie tętnicze.</w:t>
      </w:r>
      <w:r w:rsidR="004A1632">
        <w:rPr>
          <w:b/>
          <w:bCs/>
          <w:sz w:val="18"/>
          <w:szCs w:val="18"/>
        </w:rPr>
        <w:t xml:space="preserve"> </w:t>
      </w:r>
      <w:r w:rsidR="004A1632" w:rsidRPr="004A1632">
        <w:rPr>
          <w:sz w:val="18"/>
          <w:szCs w:val="18"/>
          <w:lang w:eastAsia="pl-PL" w:bidi="pl-PL"/>
        </w:rPr>
        <w:t>Bezsenność i stany lękowe.</w:t>
      </w:r>
      <w:r w:rsidR="004A1632">
        <w:rPr>
          <w:b/>
          <w:bCs/>
          <w:sz w:val="18"/>
          <w:szCs w:val="18"/>
        </w:rPr>
        <w:t xml:space="preserve"> </w:t>
      </w:r>
      <w:r w:rsidR="004A1632" w:rsidRPr="004A1632">
        <w:rPr>
          <w:sz w:val="18"/>
          <w:szCs w:val="18"/>
          <w:lang w:eastAsia="pl-PL" w:bidi="pl-PL"/>
        </w:rPr>
        <w:t>Padaczka.</w:t>
      </w:r>
      <w:r w:rsidR="004A1632">
        <w:rPr>
          <w:b/>
          <w:bCs/>
          <w:sz w:val="18"/>
          <w:szCs w:val="18"/>
        </w:rPr>
        <w:t xml:space="preserve"> </w:t>
      </w:r>
      <w:r w:rsidR="004A1632" w:rsidRPr="004A1632">
        <w:rPr>
          <w:sz w:val="18"/>
          <w:szCs w:val="18"/>
          <w:lang w:eastAsia="pl-PL" w:bidi="pl-PL"/>
        </w:rPr>
        <w:t>Wrzody żołądka i (lub) dwunastnicy.</w:t>
      </w:r>
      <w:r w:rsidR="004A1632">
        <w:rPr>
          <w:b/>
          <w:bCs/>
          <w:sz w:val="18"/>
          <w:szCs w:val="18"/>
        </w:rPr>
        <w:t xml:space="preserve"> </w:t>
      </w:r>
      <w:r w:rsidR="004A1632" w:rsidRPr="004A1632">
        <w:rPr>
          <w:sz w:val="18"/>
          <w:szCs w:val="18"/>
          <w:lang w:eastAsia="pl-PL" w:bidi="pl-PL"/>
        </w:rPr>
        <w:t>Ciężkie zaburzenia wątroby.</w:t>
      </w:r>
      <w:r w:rsidR="004A1632">
        <w:rPr>
          <w:b/>
          <w:bCs/>
          <w:sz w:val="18"/>
          <w:szCs w:val="18"/>
        </w:rPr>
        <w:t xml:space="preserve"> </w:t>
      </w:r>
      <w:r w:rsidR="004A1632" w:rsidRPr="004A1632">
        <w:rPr>
          <w:sz w:val="18"/>
          <w:szCs w:val="18"/>
          <w:lang w:eastAsia="pl-PL" w:bidi="pl-PL"/>
        </w:rPr>
        <w:t>Jaskra z wąskim kątem przesączania.</w:t>
      </w:r>
      <w:r w:rsidR="004A1632">
        <w:rPr>
          <w:b/>
          <w:bCs/>
          <w:sz w:val="18"/>
          <w:szCs w:val="18"/>
        </w:rPr>
        <w:t xml:space="preserve"> </w:t>
      </w:r>
      <w:r w:rsidR="004A1632" w:rsidRPr="004A1632">
        <w:rPr>
          <w:sz w:val="18"/>
          <w:szCs w:val="18"/>
          <w:lang w:eastAsia="pl-PL" w:bidi="pl-PL"/>
        </w:rPr>
        <w:t>Guz chromochłonny nadnerczy.</w:t>
      </w:r>
    </w:p>
    <w:p w14:paraId="7B6C5BF3" w14:textId="2CE539F7" w:rsidR="002B27EB" w:rsidRPr="004A1632" w:rsidRDefault="002B27EB" w:rsidP="004A1632">
      <w:pPr>
        <w:suppressAutoHyphens w:val="0"/>
        <w:jc w:val="both"/>
        <w:rPr>
          <w:b/>
          <w:bCs/>
          <w:iCs/>
          <w:sz w:val="18"/>
          <w:szCs w:val="18"/>
          <w:lang w:eastAsia="pl-PL" w:bidi="pl-PL"/>
        </w:rPr>
      </w:pPr>
      <w:r w:rsidRPr="002B27EB">
        <w:rPr>
          <w:b/>
          <w:bCs/>
          <w:iCs/>
          <w:sz w:val="18"/>
          <w:szCs w:val="18"/>
          <w:lang w:eastAsia="pl-PL" w:bidi="pl-PL"/>
        </w:rPr>
        <w:t xml:space="preserve">Specjalne ostrzeżenia i środki ostrożności dotyczące stosowania: </w:t>
      </w:r>
      <w:r w:rsidRPr="002B27EB">
        <w:rPr>
          <w:sz w:val="18"/>
          <w:szCs w:val="18"/>
          <w:lang w:eastAsia="pl-PL" w:bidi="pl-PL"/>
        </w:rPr>
        <w:t>Należy zachować ostrożność podczas stosowania u pacjentów z nadwrażliwością na inne leki przeciwhistaminowe, ponieważ może wystąpić reakcja krzyżowa.</w:t>
      </w:r>
      <w:r w:rsidRPr="002B27EB">
        <w:rPr>
          <w:b/>
          <w:bCs/>
          <w:iCs/>
          <w:sz w:val="18"/>
          <w:szCs w:val="18"/>
          <w:lang w:eastAsia="pl-PL" w:bidi="pl-PL"/>
        </w:rPr>
        <w:t xml:space="preserve"> </w:t>
      </w:r>
      <w:r w:rsidRPr="002B27EB">
        <w:rPr>
          <w:sz w:val="18"/>
          <w:szCs w:val="18"/>
          <w:lang w:eastAsia="pl-PL" w:bidi="pl-PL"/>
        </w:rPr>
        <w:t>Należy zachować ostrożność, u pacjentów z: rozrostem gruczołu krokowego, zatrzymaniem moczu, zwężającym wrzodem trawiennym, zwężeniem odźwiernika, zwężeniem szyi pęcherza, nadczynnością tarczycy, jaskrą z zamkniętym kątem przesączania, astmą oskrzelową, obturacyjną chorobą płuc, rozedmą płuc, przewlekłym zapaleniem oskrzeli czy zaburzeniami rytmu serca. Działanie przeciwcholinergiczne dimenhydraminy może nasilać objawy wymienionych chorób.</w:t>
      </w:r>
      <w:r w:rsidRPr="002B27EB">
        <w:rPr>
          <w:b/>
          <w:bCs/>
          <w:iCs/>
          <w:sz w:val="18"/>
          <w:szCs w:val="18"/>
          <w:lang w:eastAsia="pl-PL" w:bidi="pl-PL"/>
        </w:rPr>
        <w:t xml:space="preserve"> </w:t>
      </w:r>
      <w:r w:rsidRPr="002B27EB">
        <w:rPr>
          <w:sz w:val="18"/>
          <w:szCs w:val="18"/>
          <w:lang w:eastAsia="pl-PL" w:bidi="pl-PL"/>
        </w:rPr>
        <w:t>Pacjenci w podeszłym wieku mogą być bardziej narażeni na działanie przeciwcholinergiczne dimenhydraminy. U pacjentów z chorobą niedokrwienną serca w wywiadzie produkt leczniczy należy stosować ostrożnie, szczególnie podczas wysiłku fizycznego czy przebywania na dużych wysokościach. Kofeina może powodować zwiększenie poziomu glukozy we krwi, dlatego produkt należy stosować ostrożnie u pacjentów z cukrzycą.</w:t>
      </w:r>
    </w:p>
    <w:p w14:paraId="70084555" w14:textId="70ED7E56" w:rsidR="002B27EB" w:rsidRPr="002B27EB" w:rsidRDefault="002B27EB" w:rsidP="002B27EB">
      <w:pPr>
        <w:widowControl w:val="0"/>
        <w:suppressAutoHyphens w:val="0"/>
        <w:autoSpaceDE w:val="0"/>
        <w:autoSpaceDN w:val="0"/>
        <w:jc w:val="both"/>
        <w:rPr>
          <w:sz w:val="18"/>
          <w:szCs w:val="18"/>
          <w:lang w:eastAsia="pl-PL" w:bidi="pl-PL"/>
        </w:rPr>
      </w:pPr>
      <w:r w:rsidRPr="002B27EB">
        <w:rPr>
          <w:b/>
          <w:bCs/>
          <w:sz w:val="18"/>
          <w:szCs w:val="18"/>
          <w:lang w:eastAsia="pl-PL" w:bidi="pl-PL"/>
        </w:rPr>
        <w:t xml:space="preserve">Interakcje z innymi lekami i inne rodzaje interakcji: </w:t>
      </w:r>
      <w:r>
        <w:rPr>
          <w:b/>
          <w:bCs/>
          <w:sz w:val="18"/>
          <w:szCs w:val="18"/>
          <w:lang w:eastAsia="pl-PL" w:bidi="pl-PL"/>
        </w:rPr>
        <w:t xml:space="preserve"> </w:t>
      </w:r>
      <w:r w:rsidR="004A1632" w:rsidRPr="004A1632">
        <w:rPr>
          <w:sz w:val="18"/>
          <w:szCs w:val="18"/>
          <w:lang w:eastAsia="pl-PL" w:bidi="pl-PL"/>
        </w:rPr>
        <w:t>Należy unikać spożywania alkoholu podczas stosowania produktu leczniczego Aviorexan, gdyż może on zmieniać i nasilać działanie dimenhydraminy.</w:t>
      </w:r>
      <w:r w:rsidR="004A1632">
        <w:rPr>
          <w:sz w:val="18"/>
          <w:szCs w:val="18"/>
          <w:lang w:eastAsia="pl-PL" w:bidi="pl-PL"/>
        </w:rPr>
        <w:t xml:space="preserve"> </w:t>
      </w:r>
      <w:r w:rsidR="004A1632" w:rsidRPr="004A1632">
        <w:rPr>
          <w:sz w:val="18"/>
          <w:szCs w:val="18"/>
          <w:lang w:eastAsia="pl-PL" w:bidi="pl-PL"/>
        </w:rPr>
        <w:t>Dimenhydramina może nasilić działanie przeciwcholinergiczne innych leków</w:t>
      </w:r>
      <w:r w:rsidR="004A1632">
        <w:rPr>
          <w:sz w:val="18"/>
          <w:szCs w:val="18"/>
          <w:lang w:eastAsia="pl-PL" w:bidi="pl-PL"/>
        </w:rPr>
        <w:t xml:space="preserve"> </w:t>
      </w:r>
      <w:r w:rsidR="004A1632" w:rsidRPr="004A1632">
        <w:rPr>
          <w:sz w:val="18"/>
          <w:szCs w:val="18"/>
          <w:lang w:eastAsia="pl-PL" w:bidi="pl-PL"/>
        </w:rPr>
        <w:t>przeciwcholinergicznych (np.: atropiny, trójpierścieniowych leków przeciwdepresyjnych) oraz działanie hamujące na OUN barbituranów, środków nasennych, uspokajających i kojących.</w:t>
      </w:r>
      <w:r w:rsidR="004A1632">
        <w:rPr>
          <w:sz w:val="18"/>
          <w:szCs w:val="18"/>
          <w:lang w:eastAsia="pl-PL" w:bidi="pl-PL"/>
        </w:rPr>
        <w:t xml:space="preserve"> </w:t>
      </w:r>
      <w:r w:rsidR="004A1632" w:rsidRPr="004A1632">
        <w:rPr>
          <w:sz w:val="18"/>
          <w:szCs w:val="18"/>
          <w:lang w:eastAsia="pl-PL" w:bidi="pl-PL"/>
        </w:rPr>
        <w:t>Dimenhydramina może nasilać działanie substancji działających depresyjnie na układ nerwowy.</w:t>
      </w:r>
      <w:r w:rsidR="004A1632">
        <w:rPr>
          <w:sz w:val="18"/>
          <w:szCs w:val="18"/>
          <w:lang w:eastAsia="pl-PL" w:bidi="pl-PL"/>
        </w:rPr>
        <w:t xml:space="preserve"> </w:t>
      </w:r>
      <w:r w:rsidR="004A1632" w:rsidRPr="004A1632">
        <w:rPr>
          <w:sz w:val="18"/>
          <w:szCs w:val="18"/>
          <w:lang w:eastAsia="pl-PL" w:bidi="pl-PL"/>
        </w:rPr>
        <w:t>Dimenhydramina może nasilać działanie fotouczulające innych leków.</w:t>
      </w:r>
      <w:r w:rsidR="004A1632">
        <w:rPr>
          <w:sz w:val="18"/>
          <w:szCs w:val="18"/>
          <w:lang w:eastAsia="pl-PL" w:bidi="pl-PL"/>
        </w:rPr>
        <w:t xml:space="preserve"> </w:t>
      </w:r>
      <w:r w:rsidR="004A1632" w:rsidRPr="004A1632">
        <w:rPr>
          <w:sz w:val="18"/>
          <w:szCs w:val="18"/>
          <w:lang w:eastAsia="pl-PL" w:bidi="pl-PL"/>
        </w:rPr>
        <w:t>Dimenhydramina może maskować działanie ototoksyczne podczas leczenia antybiotykami aminoglikozydowymi.</w:t>
      </w:r>
      <w:r w:rsidR="004A1632">
        <w:rPr>
          <w:sz w:val="18"/>
          <w:szCs w:val="18"/>
          <w:lang w:eastAsia="pl-PL" w:bidi="pl-PL"/>
        </w:rPr>
        <w:t xml:space="preserve"> </w:t>
      </w:r>
      <w:r w:rsidR="004A1632" w:rsidRPr="004A1632">
        <w:rPr>
          <w:sz w:val="18"/>
          <w:szCs w:val="18"/>
          <w:lang w:eastAsia="pl-PL" w:bidi="pl-PL"/>
        </w:rPr>
        <w:t>Stosowanie dimenhydraminy należy przerwać przynajmniej trzy dni przed planowanymi testami alergicznymi, ze względu na możliwość otrzymania wyników fałszywie ujemnych.</w:t>
      </w:r>
      <w:r w:rsidR="004A1632">
        <w:rPr>
          <w:sz w:val="18"/>
          <w:szCs w:val="18"/>
          <w:lang w:eastAsia="pl-PL" w:bidi="pl-PL"/>
        </w:rPr>
        <w:t xml:space="preserve"> </w:t>
      </w:r>
      <w:r w:rsidR="004A1632" w:rsidRPr="004A1632">
        <w:rPr>
          <w:sz w:val="18"/>
          <w:szCs w:val="18"/>
          <w:lang w:eastAsia="pl-PL" w:bidi="pl-PL"/>
        </w:rPr>
        <w:t>Pacjentów z chorobą alkoholową, którzy powracają do zdrowia w wyniku leczenia disulfiramem, należy przestrzec, aby unikali stosowania kofeiny w celu uniknięcia ryzyka wystąpienia pogorszenia zespołu odstawienia alkoholu wskutek pobudzenia sercowo-naczyniowego oraz mózgowego wywołanego kofeiną.</w:t>
      </w:r>
      <w:r w:rsidR="004A1632">
        <w:rPr>
          <w:sz w:val="18"/>
          <w:szCs w:val="18"/>
          <w:lang w:eastAsia="pl-PL" w:bidi="pl-PL"/>
        </w:rPr>
        <w:t xml:space="preserve"> </w:t>
      </w:r>
      <w:r w:rsidR="004A1632" w:rsidRPr="004A1632">
        <w:rPr>
          <w:sz w:val="18"/>
          <w:szCs w:val="18"/>
          <w:lang w:eastAsia="pl-PL" w:bidi="pl-PL"/>
        </w:rPr>
        <w:t>Równoczesne przyjmowanie inhibitorów MAO i kofeiny może powodować wzrost ciśnienia tętniczego i tachykardię.</w:t>
      </w:r>
      <w:r w:rsidR="004A1632">
        <w:rPr>
          <w:sz w:val="18"/>
          <w:szCs w:val="18"/>
          <w:lang w:eastAsia="pl-PL" w:bidi="pl-PL"/>
        </w:rPr>
        <w:t xml:space="preserve"> </w:t>
      </w:r>
      <w:r w:rsidR="004A1632" w:rsidRPr="004A1632">
        <w:rPr>
          <w:sz w:val="18"/>
          <w:szCs w:val="18"/>
          <w:lang w:eastAsia="pl-PL" w:bidi="pl-PL"/>
        </w:rPr>
        <w:t>Odstawienie kofeiny zwiększa stężenie litu w surowicy, ponieważ kofeina może zwiększać klirens nerkowy litu; w związku z tym w przypadku odstawienia kofeiny konieczna może być redukcja dawki litu. W związku z tym nie zaleca się jednoczesnego stosowania.</w:t>
      </w:r>
      <w:r w:rsidR="004A1632">
        <w:rPr>
          <w:sz w:val="18"/>
          <w:szCs w:val="18"/>
          <w:lang w:eastAsia="pl-PL" w:bidi="pl-PL"/>
        </w:rPr>
        <w:t xml:space="preserve"> </w:t>
      </w:r>
      <w:r w:rsidR="004A1632" w:rsidRPr="004A1632">
        <w:rPr>
          <w:sz w:val="18"/>
          <w:szCs w:val="18"/>
          <w:lang w:eastAsia="pl-PL" w:bidi="pl-PL"/>
        </w:rPr>
        <w:t>U pacjentów z nadwrażliwością na pochodne ksantyny (m.in. teofilina, aminofilina) może występować również nadwrażliwość na kofeinę.</w:t>
      </w:r>
      <w:r w:rsidR="004A1632">
        <w:rPr>
          <w:sz w:val="18"/>
          <w:szCs w:val="18"/>
          <w:lang w:eastAsia="pl-PL" w:bidi="pl-PL"/>
        </w:rPr>
        <w:t xml:space="preserve"> </w:t>
      </w:r>
      <w:r w:rsidR="004A1632" w:rsidRPr="004A1632">
        <w:rPr>
          <w:sz w:val="18"/>
          <w:szCs w:val="18"/>
          <w:lang w:eastAsia="pl-PL" w:bidi="pl-PL"/>
        </w:rPr>
        <w:t>Kofeina może zmniejszać wydalanie teofiliny.</w:t>
      </w:r>
      <w:r w:rsidR="004A1632">
        <w:rPr>
          <w:sz w:val="18"/>
          <w:szCs w:val="18"/>
          <w:lang w:eastAsia="pl-PL" w:bidi="pl-PL"/>
        </w:rPr>
        <w:t xml:space="preserve"> </w:t>
      </w:r>
      <w:r w:rsidR="004A1632" w:rsidRPr="004A1632">
        <w:rPr>
          <w:sz w:val="18"/>
          <w:szCs w:val="18"/>
          <w:lang w:eastAsia="pl-PL" w:bidi="pl-PL"/>
        </w:rPr>
        <w:t>Leki antykoncepcyjne spowalniają metabolizm kofeiny w wątrobie.</w:t>
      </w:r>
    </w:p>
    <w:p w14:paraId="512C91B4" w14:textId="113A4803" w:rsidR="002B27EB" w:rsidRPr="002B27EB" w:rsidRDefault="000931A1" w:rsidP="002B27EB">
      <w:pPr>
        <w:pStyle w:val="Tekstpodstawowy"/>
        <w:rPr>
          <w:sz w:val="18"/>
          <w:szCs w:val="18"/>
          <w:u w:val="single"/>
        </w:rPr>
      </w:pPr>
      <w:r w:rsidRPr="00BA60CD">
        <w:rPr>
          <w:b/>
          <w:bCs/>
          <w:sz w:val="18"/>
          <w:szCs w:val="18"/>
        </w:rPr>
        <w:t xml:space="preserve">Wpływ na płodność, </w:t>
      </w:r>
      <w:r w:rsidRPr="000270CB">
        <w:rPr>
          <w:b/>
          <w:bCs/>
          <w:sz w:val="18"/>
          <w:szCs w:val="18"/>
          <w:lang w:val="pl-PL"/>
        </w:rPr>
        <w:t>ciążę i laktację:</w:t>
      </w:r>
      <w:r w:rsidR="005374DE" w:rsidRPr="000270CB">
        <w:rPr>
          <w:b/>
          <w:bCs/>
          <w:sz w:val="18"/>
          <w:szCs w:val="18"/>
          <w:lang w:val="pl-PL"/>
        </w:rPr>
        <w:t xml:space="preserve"> </w:t>
      </w:r>
      <w:r w:rsidR="002B27EB" w:rsidRPr="000270CB">
        <w:rPr>
          <w:sz w:val="18"/>
          <w:szCs w:val="18"/>
          <w:u w:val="single"/>
          <w:lang w:val="pl-PL"/>
        </w:rPr>
        <w:t>Ciąża</w:t>
      </w:r>
      <w:r w:rsidR="002B27EB" w:rsidRPr="000270CB">
        <w:rPr>
          <w:sz w:val="18"/>
          <w:szCs w:val="18"/>
          <w:u w:val="single"/>
          <w:lang w:val="pl-PL"/>
        </w:rPr>
        <w:t xml:space="preserve">: </w:t>
      </w:r>
      <w:r w:rsidR="002B27EB" w:rsidRPr="000270CB">
        <w:rPr>
          <w:sz w:val="18"/>
          <w:szCs w:val="18"/>
          <w:lang w:val="pl-PL"/>
        </w:rPr>
        <w:t>d</w:t>
      </w:r>
      <w:r w:rsidR="002B27EB" w:rsidRPr="000270CB">
        <w:rPr>
          <w:sz w:val="18"/>
          <w:szCs w:val="18"/>
          <w:lang w:val="pl-PL"/>
        </w:rPr>
        <w:t>imenhydramina podawana w ostatnich tygodniach ciąży oraz podczas porodu, może wywołać hiperstymulację macicy i bradykardię u płodu, niekiedy zagrażającą życiu, dlatego nie należy jej stosować w trzecim trymestrze ciąży. Stosowanie dimenhydraminy w pierwszym i drugim trymestrze ciąży jest dozwolone jedynie, gdy korzyści z leczenia przewyższają ryzyko.</w:t>
      </w:r>
      <w:r w:rsidR="002B27EB" w:rsidRPr="000270CB">
        <w:rPr>
          <w:sz w:val="18"/>
          <w:szCs w:val="18"/>
          <w:u w:val="single"/>
          <w:lang w:val="pl-PL"/>
        </w:rPr>
        <w:t xml:space="preserve"> </w:t>
      </w:r>
      <w:r w:rsidR="002B27EB" w:rsidRPr="000270CB">
        <w:rPr>
          <w:sz w:val="18"/>
          <w:szCs w:val="18"/>
          <w:u w:val="single"/>
          <w:lang w:val="pl-PL"/>
        </w:rPr>
        <w:t>Karmienie piersią</w:t>
      </w:r>
      <w:r w:rsidR="002B27EB" w:rsidRPr="000270CB">
        <w:rPr>
          <w:sz w:val="18"/>
          <w:szCs w:val="18"/>
          <w:u w:val="single"/>
          <w:lang w:val="pl-PL"/>
        </w:rPr>
        <w:t xml:space="preserve">: </w:t>
      </w:r>
      <w:r w:rsidR="002B27EB" w:rsidRPr="000270CB">
        <w:rPr>
          <w:sz w:val="18"/>
          <w:szCs w:val="18"/>
          <w:lang w:val="pl-PL"/>
        </w:rPr>
        <w:t>d</w:t>
      </w:r>
      <w:r w:rsidR="002B27EB" w:rsidRPr="000270CB">
        <w:rPr>
          <w:sz w:val="18"/>
          <w:szCs w:val="18"/>
          <w:lang w:val="pl-PL"/>
        </w:rPr>
        <w:t>imenhydramina przeni</w:t>
      </w:r>
      <w:r w:rsidR="002B27EB" w:rsidRPr="000270CB">
        <w:rPr>
          <w:sz w:val="18"/>
          <w:szCs w:val="18"/>
          <w:lang w:val="pl-PL"/>
        </w:rPr>
        <w:t xml:space="preserve">ka do mleka kobiecego. U kobiet </w:t>
      </w:r>
      <w:r w:rsidR="002B27EB" w:rsidRPr="000270CB">
        <w:rPr>
          <w:sz w:val="18"/>
          <w:szCs w:val="18"/>
          <w:lang w:val="pl-PL"/>
        </w:rPr>
        <w:t>karmiących piersią, produkt należy stosować ostrożnie, tylko po dokładnym rozważeniu stosunku korzyści dla matki do ryzyka dla karmionego dziecka.</w:t>
      </w:r>
    </w:p>
    <w:p w14:paraId="03E956D0" w14:textId="3A3DE92E" w:rsidR="002B27EB" w:rsidRPr="002B27EB" w:rsidRDefault="0022729D" w:rsidP="002B27EB">
      <w:pPr>
        <w:pStyle w:val="Tekstpodstawowy"/>
        <w:rPr>
          <w:sz w:val="18"/>
          <w:szCs w:val="18"/>
          <w:lang w:eastAsia="pl-PL" w:bidi="pl-PL"/>
        </w:rPr>
      </w:pPr>
      <w:r w:rsidRPr="0022729D">
        <w:rPr>
          <w:b/>
          <w:bCs/>
          <w:sz w:val="18"/>
          <w:szCs w:val="18"/>
        </w:rPr>
        <w:t xml:space="preserve">Wpływ na zdolność prowadzenia pojazdów </w:t>
      </w:r>
      <w:r w:rsidRPr="002B27EB">
        <w:rPr>
          <w:b/>
          <w:bCs/>
          <w:sz w:val="18"/>
          <w:szCs w:val="18"/>
          <w:lang w:val="pl-PL"/>
        </w:rPr>
        <w:t>i obsługiwania maszyn</w:t>
      </w:r>
      <w:r w:rsidR="000931A1" w:rsidRPr="002B27EB">
        <w:rPr>
          <w:b/>
          <w:bCs/>
          <w:sz w:val="18"/>
          <w:szCs w:val="18"/>
          <w:lang w:val="pl-PL"/>
        </w:rPr>
        <w:t>:</w:t>
      </w:r>
      <w:r w:rsidR="00C55E3B" w:rsidRPr="002B27EB">
        <w:rPr>
          <w:sz w:val="22"/>
          <w:szCs w:val="28"/>
          <w:lang w:val="pl-PL" w:eastAsia="pl-PL"/>
        </w:rPr>
        <w:t xml:space="preserve"> </w:t>
      </w:r>
      <w:r w:rsidR="002B27EB" w:rsidRPr="002B27EB">
        <w:rPr>
          <w:sz w:val="18"/>
          <w:szCs w:val="18"/>
          <w:lang w:val="pl-PL" w:eastAsia="pl-PL" w:bidi="pl-PL"/>
        </w:rPr>
        <w:t>Dimenhydramina ogranicza sprawność psychofizyczną, dlatego nie należy jej stosować u osób prowadzących pojazdy i obsługujących maszyny.</w:t>
      </w:r>
    </w:p>
    <w:p w14:paraId="7CBF0ACA" w14:textId="77777777" w:rsidR="002B27EB" w:rsidRPr="000270CB" w:rsidRDefault="000931A1" w:rsidP="002B27EB">
      <w:pPr>
        <w:pStyle w:val="Tekstpodstawowy"/>
        <w:rPr>
          <w:sz w:val="18"/>
          <w:szCs w:val="18"/>
          <w:lang w:val="pl-PL" w:eastAsia="pl-PL" w:bidi="pl-PL"/>
        </w:rPr>
      </w:pPr>
      <w:r w:rsidRPr="00BA60CD">
        <w:rPr>
          <w:b/>
          <w:bCs/>
          <w:sz w:val="18"/>
          <w:szCs w:val="18"/>
        </w:rPr>
        <w:t>Działania niepożądane:</w:t>
      </w:r>
      <w:r w:rsidR="0022729D">
        <w:rPr>
          <w:b/>
          <w:bCs/>
          <w:sz w:val="18"/>
          <w:szCs w:val="18"/>
        </w:rPr>
        <w:t xml:space="preserve"> </w:t>
      </w:r>
      <w:r w:rsidR="002B27EB" w:rsidRPr="000270CB">
        <w:rPr>
          <w:sz w:val="18"/>
          <w:szCs w:val="18"/>
          <w:lang w:val="pl-PL" w:eastAsia="pl-PL" w:bidi="pl-PL"/>
        </w:rPr>
        <w:t>Działania niepożądane zostały uszeregowane według terminologii MedDRA, zgodnie z następującą klasyfikacją częstości występowania: bardzo często (≥1/10); często (≥1/100 do &lt;1/10); niezbyt często (≥1/1 000 do &lt;1/100); rzadko (≥1/10 000 do &lt;1/1 000); bardzo rzadko (≤1/10 000), nieznana (częstość nie może być określona na podstawie dostępnych danych).</w:t>
      </w:r>
    </w:p>
    <w:p w14:paraId="3DEA90EE" w14:textId="77777777" w:rsidR="00940967" w:rsidRPr="00940967" w:rsidRDefault="00940967" w:rsidP="00940967">
      <w:pPr>
        <w:pStyle w:val="Tekstpodstawowy"/>
        <w:rPr>
          <w:b/>
          <w:bCs/>
          <w:sz w:val="18"/>
          <w:szCs w:val="18"/>
          <w:lang w:val="pl-PL" w:eastAsia="pl-PL" w:bidi="pl-PL"/>
        </w:rPr>
      </w:pPr>
      <w:r w:rsidRPr="00940967">
        <w:rPr>
          <w:b/>
          <w:bCs/>
          <w:sz w:val="18"/>
          <w:szCs w:val="18"/>
          <w:lang w:val="pl-PL" w:eastAsia="pl-PL" w:bidi="pl-PL"/>
        </w:rPr>
        <w:t>Działania niepożądane obserwowane po stosowaniu dimenhydraminy:</w:t>
      </w:r>
    </w:p>
    <w:p w14:paraId="3400013B" w14:textId="7BC9539C" w:rsidR="00940967" w:rsidRPr="00940967" w:rsidRDefault="00940967" w:rsidP="002B27EB">
      <w:pPr>
        <w:pStyle w:val="Tekstpodstawowy"/>
        <w:rPr>
          <w:b/>
          <w:bCs/>
          <w:sz w:val="18"/>
          <w:szCs w:val="18"/>
          <w:lang w:val="pl-PL" w:eastAsia="pl-PL" w:bidi="pl-PL"/>
        </w:rPr>
      </w:pPr>
      <w:r w:rsidRPr="00940967">
        <w:rPr>
          <w:sz w:val="18"/>
          <w:szCs w:val="18"/>
          <w:lang w:val="pl-PL" w:eastAsia="pl-PL" w:bidi="pl-PL"/>
        </w:rPr>
        <w:t>Działania niepożądane najczęściej były łagodne i miały charakter przejściowy – ustępowały po kilku dniach stosowania.</w:t>
      </w:r>
    </w:p>
    <w:p w14:paraId="66578A6C" w14:textId="77777777" w:rsidR="002B27EB" w:rsidRDefault="002B27EB" w:rsidP="002B27EB">
      <w:pPr>
        <w:pStyle w:val="Tekstpodstawowy"/>
        <w:rPr>
          <w:sz w:val="18"/>
          <w:szCs w:val="18"/>
          <w:lang w:eastAsia="pl-PL" w:bidi="pl-PL"/>
        </w:rPr>
      </w:pPr>
    </w:p>
    <w:tbl>
      <w:tblPr>
        <w:tblW w:w="972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96"/>
        <w:gridCol w:w="2166"/>
        <w:gridCol w:w="2409"/>
        <w:gridCol w:w="2358"/>
      </w:tblGrid>
      <w:tr w:rsidR="002B27EB" w:rsidRPr="002B27EB" w14:paraId="4E18685F" w14:textId="77777777" w:rsidTr="00940967">
        <w:trPr>
          <w:trHeight w:val="331"/>
        </w:trPr>
        <w:tc>
          <w:tcPr>
            <w:tcW w:w="2796" w:type="dxa"/>
            <w:tcBorders>
              <w:top w:val="single" w:sz="4" w:space="0" w:color="auto"/>
            </w:tcBorders>
          </w:tcPr>
          <w:p w14:paraId="1D3E0FF9" w14:textId="77777777" w:rsidR="002B27EB" w:rsidRPr="002B27EB" w:rsidRDefault="002B27EB" w:rsidP="007C7A08">
            <w:pPr>
              <w:rPr>
                <w:sz w:val="16"/>
                <w:szCs w:val="16"/>
              </w:rPr>
            </w:pPr>
            <w:r w:rsidRPr="002B27EB">
              <w:rPr>
                <w:sz w:val="16"/>
                <w:szCs w:val="16"/>
              </w:rPr>
              <w:t>Klasyfikacja układów i narządów MedDRA</w:t>
            </w:r>
          </w:p>
        </w:tc>
        <w:tc>
          <w:tcPr>
            <w:tcW w:w="2166" w:type="dxa"/>
            <w:tcBorders>
              <w:top w:val="single" w:sz="4" w:space="0" w:color="auto"/>
            </w:tcBorders>
          </w:tcPr>
          <w:p w14:paraId="70F78F5B" w14:textId="77777777" w:rsidR="002B27EB" w:rsidRPr="002B27EB" w:rsidRDefault="002B27EB" w:rsidP="007C7A08">
            <w:pPr>
              <w:rPr>
                <w:sz w:val="16"/>
                <w:szCs w:val="16"/>
              </w:rPr>
            </w:pPr>
            <w:r w:rsidRPr="002B27EB">
              <w:rPr>
                <w:sz w:val="16"/>
                <w:szCs w:val="16"/>
              </w:rPr>
              <w:t>Rzadko</w:t>
            </w:r>
          </w:p>
        </w:tc>
        <w:tc>
          <w:tcPr>
            <w:tcW w:w="2409" w:type="dxa"/>
            <w:tcBorders>
              <w:top w:val="single" w:sz="4" w:space="0" w:color="auto"/>
            </w:tcBorders>
          </w:tcPr>
          <w:p w14:paraId="64439655" w14:textId="77777777" w:rsidR="002B27EB" w:rsidRPr="002B27EB" w:rsidRDefault="002B27EB" w:rsidP="007C7A08">
            <w:pPr>
              <w:rPr>
                <w:sz w:val="16"/>
                <w:szCs w:val="16"/>
              </w:rPr>
            </w:pPr>
            <w:r w:rsidRPr="002B27EB">
              <w:rPr>
                <w:sz w:val="16"/>
                <w:szCs w:val="16"/>
              </w:rPr>
              <w:t>Bardzo rzadko</w:t>
            </w:r>
          </w:p>
        </w:tc>
        <w:tc>
          <w:tcPr>
            <w:tcW w:w="2358" w:type="dxa"/>
            <w:tcBorders>
              <w:top w:val="single" w:sz="4" w:space="0" w:color="auto"/>
            </w:tcBorders>
          </w:tcPr>
          <w:p w14:paraId="0FEB39E3" w14:textId="77777777" w:rsidR="002B27EB" w:rsidRPr="002B27EB" w:rsidRDefault="002B27EB" w:rsidP="007C7A08">
            <w:pPr>
              <w:rPr>
                <w:sz w:val="16"/>
                <w:szCs w:val="16"/>
              </w:rPr>
            </w:pPr>
            <w:r w:rsidRPr="002B27EB">
              <w:rPr>
                <w:sz w:val="16"/>
                <w:szCs w:val="16"/>
              </w:rPr>
              <w:t>Częstość nieznana</w:t>
            </w:r>
          </w:p>
        </w:tc>
      </w:tr>
      <w:tr w:rsidR="002B27EB" w:rsidRPr="002B27EB" w14:paraId="1669DAD4" w14:textId="77777777" w:rsidTr="007C7A08">
        <w:trPr>
          <w:trHeight w:val="514"/>
        </w:trPr>
        <w:tc>
          <w:tcPr>
            <w:tcW w:w="2796" w:type="dxa"/>
          </w:tcPr>
          <w:p w14:paraId="1968D31D" w14:textId="77777777" w:rsidR="002B27EB" w:rsidRPr="002B27EB" w:rsidRDefault="002B27EB" w:rsidP="007C7A08">
            <w:pPr>
              <w:rPr>
                <w:sz w:val="16"/>
                <w:szCs w:val="16"/>
              </w:rPr>
            </w:pPr>
            <w:r w:rsidRPr="002B27EB">
              <w:rPr>
                <w:sz w:val="16"/>
                <w:szCs w:val="16"/>
              </w:rPr>
              <w:t>Zaburzenia krwi i układu chłonnego</w:t>
            </w:r>
          </w:p>
        </w:tc>
        <w:tc>
          <w:tcPr>
            <w:tcW w:w="2166" w:type="dxa"/>
          </w:tcPr>
          <w:p w14:paraId="6577C7C4" w14:textId="77777777" w:rsidR="002B27EB" w:rsidRPr="002B27EB" w:rsidRDefault="002B27EB" w:rsidP="007C7A08">
            <w:pPr>
              <w:rPr>
                <w:sz w:val="16"/>
                <w:szCs w:val="16"/>
              </w:rPr>
            </w:pPr>
            <w:r w:rsidRPr="002B27EB">
              <w:rPr>
                <w:sz w:val="16"/>
                <w:szCs w:val="16"/>
              </w:rPr>
              <w:t>Niedokrwistość hemolityczna, agranulocytoza, leukopenia, trombocytoza, pancytopenia</w:t>
            </w:r>
          </w:p>
        </w:tc>
        <w:tc>
          <w:tcPr>
            <w:tcW w:w="2409" w:type="dxa"/>
          </w:tcPr>
          <w:p w14:paraId="3F3787F0" w14:textId="77777777" w:rsidR="002B27EB" w:rsidRPr="002B27EB" w:rsidRDefault="002B27EB" w:rsidP="007C7A08">
            <w:pPr>
              <w:rPr>
                <w:sz w:val="16"/>
                <w:szCs w:val="16"/>
              </w:rPr>
            </w:pPr>
          </w:p>
        </w:tc>
        <w:tc>
          <w:tcPr>
            <w:tcW w:w="2358" w:type="dxa"/>
          </w:tcPr>
          <w:p w14:paraId="5066E4F1" w14:textId="77777777" w:rsidR="002B27EB" w:rsidRPr="002B27EB" w:rsidRDefault="002B27EB" w:rsidP="007C7A08">
            <w:pPr>
              <w:rPr>
                <w:sz w:val="16"/>
                <w:szCs w:val="16"/>
              </w:rPr>
            </w:pPr>
          </w:p>
        </w:tc>
      </w:tr>
      <w:tr w:rsidR="002B27EB" w:rsidRPr="002B27EB" w14:paraId="2135D113" w14:textId="77777777" w:rsidTr="007C7A08">
        <w:trPr>
          <w:trHeight w:val="514"/>
        </w:trPr>
        <w:tc>
          <w:tcPr>
            <w:tcW w:w="2796" w:type="dxa"/>
          </w:tcPr>
          <w:p w14:paraId="75FCB25B" w14:textId="77777777" w:rsidR="002B27EB" w:rsidRPr="002B27EB" w:rsidRDefault="002B27EB" w:rsidP="007C7A08">
            <w:pPr>
              <w:rPr>
                <w:sz w:val="16"/>
                <w:szCs w:val="16"/>
              </w:rPr>
            </w:pPr>
            <w:r w:rsidRPr="002B27EB">
              <w:rPr>
                <w:sz w:val="16"/>
                <w:szCs w:val="16"/>
              </w:rPr>
              <w:t>Zaburzenia układu immunologicznego</w:t>
            </w:r>
          </w:p>
        </w:tc>
        <w:tc>
          <w:tcPr>
            <w:tcW w:w="2166" w:type="dxa"/>
          </w:tcPr>
          <w:p w14:paraId="7A5347DD" w14:textId="77777777" w:rsidR="002B27EB" w:rsidRPr="002B27EB" w:rsidRDefault="002B27EB" w:rsidP="007C7A08">
            <w:pPr>
              <w:rPr>
                <w:sz w:val="16"/>
                <w:szCs w:val="16"/>
              </w:rPr>
            </w:pPr>
          </w:p>
        </w:tc>
        <w:tc>
          <w:tcPr>
            <w:tcW w:w="2409" w:type="dxa"/>
          </w:tcPr>
          <w:p w14:paraId="67F8DE65" w14:textId="77777777" w:rsidR="002B27EB" w:rsidRPr="002B27EB" w:rsidRDefault="002B27EB" w:rsidP="007C7A08">
            <w:pPr>
              <w:rPr>
                <w:sz w:val="16"/>
                <w:szCs w:val="16"/>
              </w:rPr>
            </w:pPr>
          </w:p>
        </w:tc>
        <w:tc>
          <w:tcPr>
            <w:tcW w:w="2358" w:type="dxa"/>
          </w:tcPr>
          <w:p w14:paraId="5178C54C" w14:textId="77777777" w:rsidR="002B27EB" w:rsidRPr="002B27EB" w:rsidRDefault="002B27EB" w:rsidP="007C7A08">
            <w:pPr>
              <w:rPr>
                <w:sz w:val="16"/>
                <w:szCs w:val="16"/>
              </w:rPr>
            </w:pPr>
            <w:r w:rsidRPr="002B27EB">
              <w:rPr>
                <w:sz w:val="16"/>
                <w:szCs w:val="16"/>
              </w:rPr>
              <w:t>Reakcje anafilaktyczne, reakcje alergiczne</w:t>
            </w:r>
          </w:p>
        </w:tc>
      </w:tr>
      <w:tr w:rsidR="002B27EB" w:rsidRPr="002B27EB" w14:paraId="0AF08F12" w14:textId="77777777" w:rsidTr="00940967">
        <w:trPr>
          <w:trHeight w:val="277"/>
        </w:trPr>
        <w:tc>
          <w:tcPr>
            <w:tcW w:w="2796" w:type="dxa"/>
          </w:tcPr>
          <w:p w14:paraId="28A27EED" w14:textId="77777777" w:rsidR="002B27EB" w:rsidRPr="002B27EB" w:rsidRDefault="002B27EB" w:rsidP="007C7A08">
            <w:pPr>
              <w:rPr>
                <w:sz w:val="16"/>
                <w:szCs w:val="16"/>
              </w:rPr>
            </w:pPr>
            <w:r w:rsidRPr="002B27EB">
              <w:rPr>
                <w:sz w:val="16"/>
                <w:szCs w:val="16"/>
              </w:rPr>
              <w:t>Zaburzenia metabolizmu i odżywiania</w:t>
            </w:r>
          </w:p>
        </w:tc>
        <w:tc>
          <w:tcPr>
            <w:tcW w:w="2166" w:type="dxa"/>
          </w:tcPr>
          <w:p w14:paraId="7CEC0656" w14:textId="77777777" w:rsidR="002B27EB" w:rsidRPr="002B27EB" w:rsidRDefault="002B27EB" w:rsidP="007C7A08">
            <w:pPr>
              <w:rPr>
                <w:sz w:val="16"/>
                <w:szCs w:val="16"/>
              </w:rPr>
            </w:pPr>
          </w:p>
        </w:tc>
        <w:tc>
          <w:tcPr>
            <w:tcW w:w="2409" w:type="dxa"/>
          </w:tcPr>
          <w:p w14:paraId="05BC12F2" w14:textId="77777777" w:rsidR="002B27EB" w:rsidRPr="002B27EB" w:rsidRDefault="002B27EB" w:rsidP="007C7A08">
            <w:pPr>
              <w:rPr>
                <w:sz w:val="16"/>
                <w:szCs w:val="16"/>
              </w:rPr>
            </w:pPr>
          </w:p>
        </w:tc>
        <w:tc>
          <w:tcPr>
            <w:tcW w:w="2358" w:type="dxa"/>
          </w:tcPr>
          <w:p w14:paraId="1B2F9194" w14:textId="77777777" w:rsidR="002B27EB" w:rsidRPr="002B27EB" w:rsidRDefault="002B27EB" w:rsidP="007C7A08">
            <w:pPr>
              <w:rPr>
                <w:sz w:val="16"/>
                <w:szCs w:val="16"/>
              </w:rPr>
            </w:pPr>
            <w:r w:rsidRPr="002B27EB">
              <w:rPr>
                <w:sz w:val="16"/>
                <w:szCs w:val="16"/>
              </w:rPr>
              <w:t>Zmniejszenie łaknienia</w:t>
            </w:r>
          </w:p>
        </w:tc>
      </w:tr>
      <w:tr w:rsidR="002B27EB" w:rsidRPr="002B27EB" w14:paraId="2F0E0C60" w14:textId="77777777" w:rsidTr="007C7A08">
        <w:trPr>
          <w:trHeight w:val="514"/>
        </w:trPr>
        <w:tc>
          <w:tcPr>
            <w:tcW w:w="2796" w:type="dxa"/>
          </w:tcPr>
          <w:p w14:paraId="49AD50C6" w14:textId="77777777" w:rsidR="002B27EB" w:rsidRPr="002B27EB" w:rsidRDefault="002B27EB" w:rsidP="007C7A08">
            <w:pPr>
              <w:rPr>
                <w:sz w:val="16"/>
                <w:szCs w:val="16"/>
              </w:rPr>
            </w:pPr>
            <w:r w:rsidRPr="002B27EB">
              <w:rPr>
                <w:sz w:val="16"/>
                <w:szCs w:val="16"/>
              </w:rPr>
              <w:t>Zaburzenia psychiczne</w:t>
            </w:r>
          </w:p>
        </w:tc>
        <w:tc>
          <w:tcPr>
            <w:tcW w:w="2166" w:type="dxa"/>
          </w:tcPr>
          <w:p w14:paraId="19008E5A" w14:textId="77777777" w:rsidR="002B27EB" w:rsidRPr="002B27EB" w:rsidRDefault="002B27EB" w:rsidP="007C7A08">
            <w:pPr>
              <w:rPr>
                <w:sz w:val="16"/>
                <w:szCs w:val="16"/>
              </w:rPr>
            </w:pPr>
          </w:p>
        </w:tc>
        <w:tc>
          <w:tcPr>
            <w:tcW w:w="2409" w:type="dxa"/>
          </w:tcPr>
          <w:p w14:paraId="4561E50B" w14:textId="77777777" w:rsidR="002B27EB" w:rsidRPr="002B27EB" w:rsidRDefault="002B27EB" w:rsidP="007C7A08">
            <w:pPr>
              <w:rPr>
                <w:sz w:val="16"/>
                <w:szCs w:val="16"/>
              </w:rPr>
            </w:pPr>
          </w:p>
        </w:tc>
        <w:tc>
          <w:tcPr>
            <w:tcW w:w="2358" w:type="dxa"/>
          </w:tcPr>
          <w:p w14:paraId="579CA25F" w14:textId="77777777" w:rsidR="002B27EB" w:rsidRPr="002B27EB" w:rsidRDefault="002B27EB" w:rsidP="007C7A08">
            <w:pPr>
              <w:rPr>
                <w:sz w:val="16"/>
                <w:szCs w:val="16"/>
                <w:vertAlign w:val="superscript"/>
              </w:rPr>
            </w:pPr>
            <w:r w:rsidRPr="002B27EB">
              <w:rPr>
                <w:sz w:val="16"/>
                <w:szCs w:val="16"/>
              </w:rPr>
              <w:t>Pobudzenie, zaburzenia snu, niepokój, drżenie</w:t>
            </w:r>
            <w:r w:rsidRPr="002B27EB">
              <w:rPr>
                <w:sz w:val="16"/>
                <w:szCs w:val="16"/>
                <w:vertAlign w:val="superscript"/>
              </w:rPr>
              <w:t>1</w:t>
            </w:r>
          </w:p>
        </w:tc>
      </w:tr>
      <w:tr w:rsidR="002B27EB" w:rsidRPr="002B27EB" w14:paraId="26574F56" w14:textId="77777777" w:rsidTr="007C7A08">
        <w:trPr>
          <w:trHeight w:val="514"/>
        </w:trPr>
        <w:tc>
          <w:tcPr>
            <w:tcW w:w="2796" w:type="dxa"/>
          </w:tcPr>
          <w:p w14:paraId="48FD8E00" w14:textId="77777777" w:rsidR="002B27EB" w:rsidRPr="002B27EB" w:rsidRDefault="002B27EB" w:rsidP="007C7A08">
            <w:pPr>
              <w:rPr>
                <w:sz w:val="16"/>
                <w:szCs w:val="16"/>
              </w:rPr>
            </w:pPr>
            <w:r w:rsidRPr="002B27EB">
              <w:rPr>
                <w:sz w:val="16"/>
                <w:szCs w:val="16"/>
              </w:rPr>
              <w:t>Zaburzenia układu nerwowego</w:t>
            </w:r>
          </w:p>
        </w:tc>
        <w:tc>
          <w:tcPr>
            <w:tcW w:w="2166" w:type="dxa"/>
          </w:tcPr>
          <w:p w14:paraId="423D68A5" w14:textId="77777777" w:rsidR="002B27EB" w:rsidRPr="002B27EB" w:rsidRDefault="002B27EB" w:rsidP="007C7A08">
            <w:pPr>
              <w:rPr>
                <w:sz w:val="16"/>
                <w:szCs w:val="16"/>
              </w:rPr>
            </w:pPr>
          </w:p>
        </w:tc>
        <w:tc>
          <w:tcPr>
            <w:tcW w:w="2409" w:type="dxa"/>
          </w:tcPr>
          <w:p w14:paraId="48E46931" w14:textId="77777777" w:rsidR="002B27EB" w:rsidRPr="002B27EB" w:rsidRDefault="002B27EB" w:rsidP="007C7A08">
            <w:pPr>
              <w:rPr>
                <w:sz w:val="16"/>
                <w:szCs w:val="16"/>
              </w:rPr>
            </w:pPr>
            <w:r w:rsidRPr="002B27EB">
              <w:rPr>
                <w:sz w:val="16"/>
                <w:szCs w:val="16"/>
              </w:rPr>
              <w:t>Paradoksalne pobudzenie</w:t>
            </w:r>
            <w:r w:rsidRPr="002B27EB">
              <w:rPr>
                <w:sz w:val="16"/>
                <w:szCs w:val="16"/>
                <w:vertAlign w:val="superscript"/>
              </w:rPr>
              <w:t>1</w:t>
            </w:r>
          </w:p>
        </w:tc>
        <w:tc>
          <w:tcPr>
            <w:tcW w:w="2358" w:type="dxa"/>
          </w:tcPr>
          <w:p w14:paraId="7DA4622D" w14:textId="77777777" w:rsidR="002B27EB" w:rsidRPr="002B27EB" w:rsidRDefault="002B27EB" w:rsidP="007C7A08">
            <w:pPr>
              <w:rPr>
                <w:sz w:val="16"/>
                <w:szCs w:val="16"/>
              </w:rPr>
            </w:pPr>
            <w:r w:rsidRPr="002B27EB">
              <w:rPr>
                <w:sz w:val="16"/>
                <w:szCs w:val="16"/>
              </w:rPr>
              <w:t>Senność, sedacja, zawroty głowy, bóle głowy</w:t>
            </w:r>
          </w:p>
        </w:tc>
      </w:tr>
      <w:tr w:rsidR="002B27EB" w:rsidRPr="002B27EB" w14:paraId="118129D5" w14:textId="77777777" w:rsidTr="007C7A08">
        <w:trPr>
          <w:trHeight w:val="514"/>
        </w:trPr>
        <w:tc>
          <w:tcPr>
            <w:tcW w:w="2796" w:type="dxa"/>
          </w:tcPr>
          <w:p w14:paraId="7E8B5ACC" w14:textId="77777777" w:rsidR="002B27EB" w:rsidRPr="002B27EB" w:rsidRDefault="002B27EB" w:rsidP="007C7A08">
            <w:pPr>
              <w:rPr>
                <w:sz w:val="16"/>
                <w:szCs w:val="16"/>
              </w:rPr>
            </w:pPr>
            <w:r w:rsidRPr="002B27EB">
              <w:rPr>
                <w:sz w:val="16"/>
                <w:szCs w:val="16"/>
              </w:rPr>
              <w:t>Zaburzenia oka</w:t>
            </w:r>
          </w:p>
        </w:tc>
        <w:tc>
          <w:tcPr>
            <w:tcW w:w="2166" w:type="dxa"/>
          </w:tcPr>
          <w:p w14:paraId="43274C08" w14:textId="77777777" w:rsidR="002B27EB" w:rsidRPr="002B27EB" w:rsidRDefault="002B27EB" w:rsidP="007C7A08">
            <w:pPr>
              <w:rPr>
                <w:sz w:val="16"/>
                <w:szCs w:val="16"/>
              </w:rPr>
            </w:pPr>
          </w:p>
        </w:tc>
        <w:tc>
          <w:tcPr>
            <w:tcW w:w="2409" w:type="dxa"/>
          </w:tcPr>
          <w:p w14:paraId="559C9590" w14:textId="77777777" w:rsidR="002B27EB" w:rsidRPr="002B27EB" w:rsidRDefault="002B27EB" w:rsidP="007C7A08">
            <w:pPr>
              <w:rPr>
                <w:sz w:val="16"/>
                <w:szCs w:val="16"/>
              </w:rPr>
            </w:pPr>
          </w:p>
        </w:tc>
        <w:tc>
          <w:tcPr>
            <w:tcW w:w="2358" w:type="dxa"/>
          </w:tcPr>
          <w:p w14:paraId="73229A2A" w14:textId="77777777" w:rsidR="002B27EB" w:rsidRPr="002B27EB" w:rsidRDefault="002B27EB" w:rsidP="007C7A08">
            <w:pPr>
              <w:rPr>
                <w:sz w:val="16"/>
                <w:szCs w:val="16"/>
              </w:rPr>
            </w:pPr>
            <w:r w:rsidRPr="002B27EB">
              <w:rPr>
                <w:sz w:val="16"/>
                <w:szCs w:val="16"/>
              </w:rPr>
              <w:t>Zwiększenie ciśnienia wewnątrzgałkowego, zaburzenia widzenia</w:t>
            </w:r>
            <w:r w:rsidRPr="002B27EB">
              <w:rPr>
                <w:sz w:val="16"/>
                <w:szCs w:val="16"/>
                <w:vertAlign w:val="superscript"/>
              </w:rPr>
              <w:t>2</w:t>
            </w:r>
          </w:p>
        </w:tc>
      </w:tr>
      <w:tr w:rsidR="002B27EB" w:rsidRPr="002B27EB" w14:paraId="2550E121" w14:textId="77777777" w:rsidTr="007C7A08">
        <w:trPr>
          <w:trHeight w:val="514"/>
        </w:trPr>
        <w:tc>
          <w:tcPr>
            <w:tcW w:w="2796" w:type="dxa"/>
          </w:tcPr>
          <w:p w14:paraId="232E8B80" w14:textId="77777777" w:rsidR="002B27EB" w:rsidRPr="002B27EB" w:rsidRDefault="002B27EB" w:rsidP="007C7A08">
            <w:pPr>
              <w:rPr>
                <w:sz w:val="16"/>
                <w:szCs w:val="16"/>
              </w:rPr>
            </w:pPr>
            <w:r w:rsidRPr="002B27EB">
              <w:rPr>
                <w:sz w:val="16"/>
                <w:szCs w:val="16"/>
              </w:rPr>
              <w:t>Zaburzenia serca</w:t>
            </w:r>
          </w:p>
        </w:tc>
        <w:tc>
          <w:tcPr>
            <w:tcW w:w="2166" w:type="dxa"/>
          </w:tcPr>
          <w:p w14:paraId="4BAA6D0A" w14:textId="77777777" w:rsidR="002B27EB" w:rsidRPr="002B27EB" w:rsidRDefault="002B27EB" w:rsidP="007C7A08">
            <w:pPr>
              <w:rPr>
                <w:sz w:val="16"/>
                <w:szCs w:val="16"/>
              </w:rPr>
            </w:pPr>
          </w:p>
        </w:tc>
        <w:tc>
          <w:tcPr>
            <w:tcW w:w="2409" w:type="dxa"/>
          </w:tcPr>
          <w:p w14:paraId="6425F3AB" w14:textId="77777777" w:rsidR="002B27EB" w:rsidRPr="002B27EB" w:rsidRDefault="002B27EB" w:rsidP="007C7A08">
            <w:pPr>
              <w:rPr>
                <w:sz w:val="16"/>
                <w:szCs w:val="16"/>
              </w:rPr>
            </w:pPr>
            <w:r w:rsidRPr="002B27EB">
              <w:rPr>
                <w:sz w:val="16"/>
                <w:szCs w:val="16"/>
              </w:rPr>
              <w:t>Tachykardia</w:t>
            </w:r>
            <w:r w:rsidRPr="002B27EB">
              <w:rPr>
                <w:sz w:val="16"/>
                <w:szCs w:val="16"/>
                <w:vertAlign w:val="superscript"/>
              </w:rPr>
              <w:t>2,3</w:t>
            </w:r>
            <w:r w:rsidRPr="002B27EB">
              <w:rPr>
                <w:sz w:val="16"/>
                <w:szCs w:val="16"/>
              </w:rPr>
              <w:t>, zaburzenia rytmu serca (m.in. ekstrasystolie, blok serca)</w:t>
            </w:r>
            <w:r w:rsidRPr="002B27EB">
              <w:rPr>
                <w:sz w:val="16"/>
                <w:szCs w:val="16"/>
                <w:vertAlign w:val="superscript"/>
              </w:rPr>
              <w:t>2,3</w:t>
            </w:r>
            <w:r w:rsidRPr="002B27EB">
              <w:rPr>
                <w:sz w:val="16"/>
                <w:szCs w:val="16"/>
              </w:rPr>
              <w:t>, niedociśnienie tętnicze, nadciśnienie tętnicze</w:t>
            </w:r>
          </w:p>
        </w:tc>
        <w:tc>
          <w:tcPr>
            <w:tcW w:w="2358" w:type="dxa"/>
          </w:tcPr>
          <w:p w14:paraId="1F01DB90" w14:textId="77777777" w:rsidR="002B27EB" w:rsidRPr="002B27EB" w:rsidRDefault="002B27EB" w:rsidP="007C7A08">
            <w:pPr>
              <w:rPr>
                <w:sz w:val="16"/>
                <w:szCs w:val="16"/>
              </w:rPr>
            </w:pPr>
          </w:p>
        </w:tc>
      </w:tr>
      <w:tr w:rsidR="002B27EB" w:rsidRPr="002B27EB" w14:paraId="1560F6D9" w14:textId="77777777" w:rsidTr="007C7A08">
        <w:trPr>
          <w:trHeight w:val="514"/>
        </w:trPr>
        <w:tc>
          <w:tcPr>
            <w:tcW w:w="2796" w:type="dxa"/>
          </w:tcPr>
          <w:p w14:paraId="2AD98336" w14:textId="77777777" w:rsidR="002B27EB" w:rsidRPr="002B27EB" w:rsidRDefault="002B27EB" w:rsidP="007C7A08">
            <w:pPr>
              <w:rPr>
                <w:sz w:val="16"/>
                <w:szCs w:val="16"/>
              </w:rPr>
            </w:pPr>
            <w:r w:rsidRPr="002B27EB">
              <w:rPr>
                <w:sz w:val="16"/>
                <w:szCs w:val="16"/>
              </w:rPr>
              <w:lastRenderedPageBreak/>
              <w:t>Zaburzenia układu oddechowego, klatki piersiowej i śródpiersia</w:t>
            </w:r>
          </w:p>
        </w:tc>
        <w:tc>
          <w:tcPr>
            <w:tcW w:w="2166" w:type="dxa"/>
          </w:tcPr>
          <w:p w14:paraId="758B6862" w14:textId="77777777" w:rsidR="002B27EB" w:rsidRPr="002B27EB" w:rsidRDefault="002B27EB" w:rsidP="007C7A08">
            <w:pPr>
              <w:rPr>
                <w:sz w:val="16"/>
                <w:szCs w:val="16"/>
              </w:rPr>
            </w:pPr>
          </w:p>
        </w:tc>
        <w:tc>
          <w:tcPr>
            <w:tcW w:w="2409" w:type="dxa"/>
          </w:tcPr>
          <w:p w14:paraId="00307988" w14:textId="77777777" w:rsidR="002B27EB" w:rsidRPr="002B27EB" w:rsidRDefault="002B27EB" w:rsidP="007C7A08">
            <w:pPr>
              <w:rPr>
                <w:sz w:val="16"/>
                <w:szCs w:val="16"/>
              </w:rPr>
            </w:pPr>
            <w:r w:rsidRPr="002B27EB">
              <w:rPr>
                <w:sz w:val="16"/>
                <w:szCs w:val="16"/>
              </w:rPr>
              <w:t xml:space="preserve">Nasilenie wydzielania wydzieliny oskrzelowej mogące prowadzić do trudności </w:t>
            </w:r>
            <w:r w:rsidRPr="002B27EB">
              <w:rPr>
                <w:sz w:val="16"/>
                <w:szCs w:val="16"/>
              </w:rPr>
              <w:br/>
              <w:t>w oddychaniu</w:t>
            </w:r>
          </w:p>
        </w:tc>
        <w:tc>
          <w:tcPr>
            <w:tcW w:w="2358" w:type="dxa"/>
          </w:tcPr>
          <w:p w14:paraId="5EB308AE" w14:textId="77777777" w:rsidR="002B27EB" w:rsidRPr="002B27EB" w:rsidRDefault="002B27EB" w:rsidP="007C7A08">
            <w:pPr>
              <w:rPr>
                <w:sz w:val="16"/>
                <w:szCs w:val="16"/>
              </w:rPr>
            </w:pPr>
          </w:p>
        </w:tc>
      </w:tr>
      <w:tr w:rsidR="002B27EB" w:rsidRPr="002B27EB" w14:paraId="651623B1" w14:textId="77777777" w:rsidTr="007C7A08">
        <w:trPr>
          <w:trHeight w:val="514"/>
        </w:trPr>
        <w:tc>
          <w:tcPr>
            <w:tcW w:w="2796" w:type="dxa"/>
          </w:tcPr>
          <w:p w14:paraId="43EA9974" w14:textId="77777777" w:rsidR="002B27EB" w:rsidRPr="002B27EB" w:rsidRDefault="002B27EB" w:rsidP="007C7A08">
            <w:pPr>
              <w:rPr>
                <w:sz w:val="16"/>
                <w:szCs w:val="16"/>
              </w:rPr>
            </w:pPr>
            <w:r w:rsidRPr="002B27EB">
              <w:rPr>
                <w:sz w:val="16"/>
                <w:szCs w:val="16"/>
              </w:rPr>
              <w:t>Zaburzenia żołądka i jelit</w:t>
            </w:r>
          </w:p>
        </w:tc>
        <w:tc>
          <w:tcPr>
            <w:tcW w:w="2166" w:type="dxa"/>
          </w:tcPr>
          <w:p w14:paraId="1A0DE0F1" w14:textId="77777777" w:rsidR="002B27EB" w:rsidRPr="002B27EB" w:rsidRDefault="002B27EB" w:rsidP="007C7A08">
            <w:pPr>
              <w:rPr>
                <w:sz w:val="16"/>
                <w:szCs w:val="16"/>
              </w:rPr>
            </w:pPr>
          </w:p>
        </w:tc>
        <w:tc>
          <w:tcPr>
            <w:tcW w:w="2409" w:type="dxa"/>
          </w:tcPr>
          <w:p w14:paraId="217B4350" w14:textId="77777777" w:rsidR="002B27EB" w:rsidRPr="002B27EB" w:rsidRDefault="002B27EB" w:rsidP="007C7A08">
            <w:pPr>
              <w:rPr>
                <w:sz w:val="16"/>
                <w:szCs w:val="16"/>
              </w:rPr>
            </w:pPr>
          </w:p>
        </w:tc>
        <w:tc>
          <w:tcPr>
            <w:tcW w:w="2358" w:type="dxa"/>
          </w:tcPr>
          <w:p w14:paraId="10D20BAA" w14:textId="77777777" w:rsidR="002B27EB" w:rsidRPr="002B27EB" w:rsidRDefault="002B27EB" w:rsidP="007C7A08">
            <w:pPr>
              <w:rPr>
                <w:sz w:val="16"/>
                <w:szCs w:val="16"/>
              </w:rPr>
            </w:pPr>
            <w:r w:rsidRPr="002B27EB">
              <w:rPr>
                <w:sz w:val="16"/>
                <w:szCs w:val="16"/>
              </w:rPr>
              <w:t>Nudności, wymioty, biegunka, zaparcia, bóle brzucha, suchość błony śluzowej jamy ustnej</w:t>
            </w:r>
            <w:r w:rsidRPr="002B27EB">
              <w:rPr>
                <w:sz w:val="16"/>
                <w:szCs w:val="16"/>
                <w:vertAlign w:val="superscript"/>
              </w:rPr>
              <w:t>4</w:t>
            </w:r>
          </w:p>
        </w:tc>
      </w:tr>
      <w:tr w:rsidR="002B27EB" w:rsidRPr="002B27EB" w14:paraId="4A9D2D4B" w14:textId="77777777" w:rsidTr="007C7A08">
        <w:trPr>
          <w:trHeight w:val="514"/>
        </w:trPr>
        <w:tc>
          <w:tcPr>
            <w:tcW w:w="2796" w:type="dxa"/>
          </w:tcPr>
          <w:p w14:paraId="1D641A37" w14:textId="77777777" w:rsidR="002B27EB" w:rsidRPr="002B27EB" w:rsidRDefault="002B27EB" w:rsidP="007C7A08">
            <w:pPr>
              <w:rPr>
                <w:sz w:val="16"/>
                <w:szCs w:val="16"/>
              </w:rPr>
            </w:pPr>
            <w:r w:rsidRPr="002B27EB">
              <w:rPr>
                <w:sz w:val="16"/>
                <w:szCs w:val="16"/>
              </w:rPr>
              <w:t>Zaburzenia skóry i tkanki podskórnej</w:t>
            </w:r>
          </w:p>
        </w:tc>
        <w:tc>
          <w:tcPr>
            <w:tcW w:w="2166" w:type="dxa"/>
          </w:tcPr>
          <w:p w14:paraId="244E6C73" w14:textId="77777777" w:rsidR="002B27EB" w:rsidRPr="002B27EB" w:rsidRDefault="002B27EB" w:rsidP="007C7A08">
            <w:pPr>
              <w:rPr>
                <w:sz w:val="16"/>
                <w:szCs w:val="16"/>
              </w:rPr>
            </w:pPr>
          </w:p>
        </w:tc>
        <w:tc>
          <w:tcPr>
            <w:tcW w:w="2409" w:type="dxa"/>
          </w:tcPr>
          <w:p w14:paraId="6FA341A7" w14:textId="77777777" w:rsidR="002B27EB" w:rsidRPr="002B27EB" w:rsidRDefault="002B27EB" w:rsidP="007C7A08">
            <w:pPr>
              <w:rPr>
                <w:sz w:val="16"/>
                <w:szCs w:val="16"/>
              </w:rPr>
            </w:pPr>
          </w:p>
        </w:tc>
        <w:tc>
          <w:tcPr>
            <w:tcW w:w="2358" w:type="dxa"/>
          </w:tcPr>
          <w:p w14:paraId="651AA79D" w14:textId="77777777" w:rsidR="002B27EB" w:rsidRPr="002B27EB" w:rsidRDefault="002B27EB" w:rsidP="007C7A08">
            <w:pPr>
              <w:rPr>
                <w:sz w:val="16"/>
                <w:szCs w:val="16"/>
              </w:rPr>
            </w:pPr>
            <w:r w:rsidRPr="002B27EB">
              <w:rPr>
                <w:sz w:val="16"/>
                <w:szCs w:val="16"/>
              </w:rPr>
              <w:t>Skórne reakcje alergiczne, nadwrażliwość skóry na światło słoneczne, zapalenie skóry, świąd, wysypka, rumień</w:t>
            </w:r>
          </w:p>
        </w:tc>
      </w:tr>
      <w:tr w:rsidR="002B27EB" w:rsidRPr="002B27EB" w14:paraId="59E103A7" w14:textId="77777777" w:rsidTr="00940967">
        <w:trPr>
          <w:trHeight w:val="216"/>
        </w:trPr>
        <w:tc>
          <w:tcPr>
            <w:tcW w:w="2796" w:type="dxa"/>
          </w:tcPr>
          <w:p w14:paraId="0ADF685F" w14:textId="77777777" w:rsidR="002B27EB" w:rsidRPr="002B27EB" w:rsidRDefault="002B27EB" w:rsidP="007C7A08">
            <w:pPr>
              <w:rPr>
                <w:sz w:val="16"/>
                <w:szCs w:val="16"/>
              </w:rPr>
            </w:pPr>
            <w:r w:rsidRPr="002B27EB">
              <w:rPr>
                <w:sz w:val="16"/>
                <w:szCs w:val="16"/>
              </w:rPr>
              <w:t>Zaburzenia nerek i dróg moczowych</w:t>
            </w:r>
          </w:p>
        </w:tc>
        <w:tc>
          <w:tcPr>
            <w:tcW w:w="2166" w:type="dxa"/>
          </w:tcPr>
          <w:p w14:paraId="37B3BAFC" w14:textId="77777777" w:rsidR="002B27EB" w:rsidRPr="002B27EB" w:rsidRDefault="002B27EB" w:rsidP="007C7A08">
            <w:pPr>
              <w:rPr>
                <w:sz w:val="16"/>
                <w:szCs w:val="16"/>
              </w:rPr>
            </w:pPr>
          </w:p>
        </w:tc>
        <w:tc>
          <w:tcPr>
            <w:tcW w:w="2409" w:type="dxa"/>
          </w:tcPr>
          <w:p w14:paraId="0519316A" w14:textId="77777777" w:rsidR="002B27EB" w:rsidRPr="002B27EB" w:rsidRDefault="002B27EB" w:rsidP="007C7A08">
            <w:pPr>
              <w:rPr>
                <w:sz w:val="16"/>
                <w:szCs w:val="16"/>
              </w:rPr>
            </w:pPr>
          </w:p>
        </w:tc>
        <w:tc>
          <w:tcPr>
            <w:tcW w:w="2358" w:type="dxa"/>
          </w:tcPr>
          <w:p w14:paraId="32895725" w14:textId="77777777" w:rsidR="002B27EB" w:rsidRPr="002B27EB" w:rsidRDefault="002B27EB" w:rsidP="007C7A08">
            <w:pPr>
              <w:rPr>
                <w:sz w:val="16"/>
                <w:szCs w:val="16"/>
              </w:rPr>
            </w:pPr>
            <w:r w:rsidRPr="002B27EB">
              <w:rPr>
                <w:sz w:val="16"/>
                <w:szCs w:val="16"/>
              </w:rPr>
              <w:t>Trudności w oddawaniu moczu</w:t>
            </w:r>
            <w:r w:rsidRPr="002B27EB">
              <w:rPr>
                <w:sz w:val="16"/>
                <w:szCs w:val="16"/>
                <w:vertAlign w:val="superscript"/>
              </w:rPr>
              <w:t>2</w:t>
            </w:r>
          </w:p>
        </w:tc>
      </w:tr>
      <w:tr w:rsidR="002B27EB" w:rsidRPr="002B27EB" w14:paraId="01C7DA74" w14:textId="77777777" w:rsidTr="00940967">
        <w:trPr>
          <w:trHeight w:val="134"/>
        </w:trPr>
        <w:tc>
          <w:tcPr>
            <w:tcW w:w="2796" w:type="dxa"/>
          </w:tcPr>
          <w:p w14:paraId="2855F603" w14:textId="77777777" w:rsidR="002B27EB" w:rsidRPr="002B27EB" w:rsidRDefault="002B27EB" w:rsidP="007C7A08">
            <w:pPr>
              <w:rPr>
                <w:sz w:val="16"/>
                <w:szCs w:val="16"/>
              </w:rPr>
            </w:pPr>
            <w:r w:rsidRPr="002B27EB">
              <w:rPr>
                <w:sz w:val="16"/>
                <w:szCs w:val="16"/>
              </w:rPr>
              <w:t>Zaburzenia układu rozrodczego i piersi</w:t>
            </w:r>
          </w:p>
        </w:tc>
        <w:tc>
          <w:tcPr>
            <w:tcW w:w="2166" w:type="dxa"/>
          </w:tcPr>
          <w:p w14:paraId="04CB8A7D" w14:textId="77777777" w:rsidR="002B27EB" w:rsidRPr="002B27EB" w:rsidRDefault="002B27EB" w:rsidP="007C7A08">
            <w:pPr>
              <w:rPr>
                <w:sz w:val="16"/>
                <w:szCs w:val="16"/>
              </w:rPr>
            </w:pPr>
          </w:p>
        </w:tc>
        <w:tc>
          <w:tcPr>
            <w:tcW w:w="2409" w:type="dxa"/>
          </w:tcPr>
          <w:p w14:paraId="0F8C9622" w14:textId="77777777" w:rsidR="002B27EB" w:rsidRPr="002B27EB" w:rsidRDefault="002B27EB" w:rsidP="007C7A08">
            <w:pPr>
              <w:rPr>
                <w:sz w:val="16"/>
                <w:szCs w:val="16"/>
              </w:rPr>
            </w:pPr>
          </w:p>
        </w:tc>
        <w:tc>
          <w:tcPr>
            <w:tcW w:w="2358" w:type="dxa"/>
          </w:tcPr>
          <w:p w14:paraId="1F685D16" w14:textId="77777777" w:rsidR="002B27EB" w:rsidRPr="002B27EB" w:rsidRDefault="002B27EB" w:rsidP="007C7A08">
            <w:pPr>
              <w:rPr>
                <w:sz w:val="16"/>
                <w:szCs w:val="16"/>
              </w:rPr>
            </w:pPr>
            <w:r w:rsidRPr="002B27EB">
              <w:rPr>
                <w:sz w:val="16"/>
                <w:szCs w:val="16"/>
              </w:rPr>
              <w:t>Zaburzenia funkcji seksualnych</w:t>
            </w:r>
            <w:r w:rsidRPr="002B27EB">
              <w:rPr>
                <w:sz w:val="16"/>
                <w:szCs w:val="16"/>
                <w:vertAlign w:val="superscript"/>
              </w:rPr>
              <w:t>2</w:t>
            </w:r>
          </w:p>
        </w:tc>
      </w:tr>
      <w:tr w:rsidR="002B27EB" w:rsidRPr="002B27EB" w14:paraId="12686215" w14:textId="77777777" w:rsidTr="00940967">
        <w:trPr>
          <w:trHeight w:val="350"/>
        </w:trPr>
        <w:tc>
          <w:tcPr>
            <w:tcW w:w="2796" w:type="dxa"/>
          </w:tcPr>
          <w:p w14:paraId="6B14563A" w14:textId="77777777" w:rsidR="002B27EB" w:rsidRPr="002B27EB" w:rsidRDefault="002B27EB" w:rsidP="007C7A08">
            <w:pPr>
              <w:rPr>
                <w:sz w:val="16"/>
                <w:szCs w:val="16"/>
              </w:rPr>
            </w:pPr>
            <w:r w:rsidRPr="002B27EB">
              <w:rPr>
                <w:sz w:val="16"/>
                <w:szCs w:val="16"/>
              </w:rPr>
              <w:t>Wady wrodzone, choroby rodzinne i genetyczne</w:t>
            </w:r>
          </w:p>
        </w:tc>
        <w:tc>
          <w:tcPr>
            <w:tcW w:w="2166" w:type="dxa"/>
          </w:tcPr>
          <w:p w14:paraId="063CD0DC" w14:textId="77777777" w:rsidR="002B27EB" w:rsidRPr="002B27EB" w:rsidRDefault="002B27EB" w:rsidP="007C7A08">
            <w:pPr>
              <w:rPr>
                <w:sz w:val="16"/>
                <w:szCs w:val="16"/>
              </w:rPr>
            </w:pPr>
          </w:p>
        </w:tc>
        <w:tc>
          <w:tcPr>
            <w:tcW w:w="2409" w:type="dxa"/>
          </w:tcPr>
          <w:p w14:paraId="66252D9C" w14:textId="77777777" w:rsidR="002B27EB" w:rsidRPr="002B27EB" w:rsidRDefault="002B27EB" w:rsidP="007C7A08">
            <w:pPr>
              <w:rPr>
                <w:sz w:val="16"/>
                <w:szCs w:val="16"/>
              </w:rPr>
            </w:pPr>
          </w:p>
        </w:tc>
        <w:tc>
          <w:tcPr>
            <w:tcW w:w="2358" w:type="dxa"/>
          </w:tcPr>
          <w:p w14:paraId="3B53A186" w14:textId="77777777" w:rsidR="002B27EB" w:rsidRPr="002B27EB" w:rsidRDefault="002B27EB" w:rsidP="007C7A08">
            <w:pPr>
              <w:rPr>
                <w:sz w:val="16"/>
                <w:szCs w:val="16"/>
              </w:rPr>
            </w:pPr>
            <w:r w:rsidRPr="002B27EB">
              <w:rPr>
                <w:sz w:val="16"/>
                <w:szCs w:val="16"/>
              </w:rPr>
              <w:t>Nasilenie porfirii</w:t>
            </w:r>
          </w:p>
        </w:tc>
      </w:tr>
      <w:tr w:rsidR="002B27EB" w:rsidRPr="002B27EB" w14:paraId="4E13FCAA" w14:textId="77777777" w:rsidTr="00940967">
        <w:trPr>
          <w:trHeight w:val="256"/>
        </w:trPr>
        <w:tc>
          <w:tcPr>
            <w:tcW w:w="2796" w:type="dxa"/>
            <w:tcBorders>
              <w:bottom w:val="single" w:sz="4" w:space="0" w:color="auto"/>
            </w:tcBorders>
          </w:tcPr>
          <w:p w14:paraId="49876F48" w14:textId="77777777" w:rsidR="002B27EB" w:rsidRPr="002B27EB" w:rsidRDefault="002B27EB" w:rsidP="007C7A08">
            <w:pPr>
              <w:rPr>
                <w:sz w:val="16"/>
                <w:szCs w:val="16"/>
              </w:rPr>
            </w:pPr>
            <w:r w:rsidRPr="002B27EB">
              <w:rPr>
                <w:sz w:val="16"/>
                <w:szCs w:val="16"/>
              </w:rPr>
              <w:t>Zaburzenia ogólne i stany w miejscu podania</w:t>
            </w:r>
          </w:p>
        </w:tc>
        <w:tc>
          <w:tcPr>
            <w:tcW w:w="2166" w:type="dxa"/>
            <w:tcBorders>
              <w:bottom w:val="single" w:sz="4" w:space="0" w:color="auto"/>
            </w:tcBorders>
          </w:tcPr>
          <w:p w14:paraId="6BC50B13" w14:textId="77777777" w:rsidR="002B27EB" w:rsidRPr="002B27EB" w:rsidRDefault="002B27EB" w:rsidP="007C7A08">
            <w:pPr>
              <w:rPr>
                <w:sz w:val="16"/>
                <w:szCs w:val="16"/>
              </w:rPr>
            </w:pPr>
          </w:p>
        </w:tc>
        <w:tc>
          <w:tcPr>
            <w:tcW w:w="2409" w:type="dxa"/>
            <w:tcBorders>
              <w:bottom w:val="single" w:sz="4" w:space="0" w:color="auto"/>
            </w:tcBorders>
          </w:tcPr>
          <w:p w14:paraId="0146C3A7" w14:textId="77777777" w:rsidR="002B27EB" w:rsidRPr="002B27EB" w:rsidRDefault="002B27EB" w:rsidP="007C7A08">
            <w:pPr>
              <w:rPr>
                <w:sz w:val="16"/>
                <w:szCs w:val="16"/>
              </w:rPr>
            </w:pPr>
          </w:p>
        </w:tc>
        <w:tc>
          <w:tcPr>
            <w:tcW w:w="2358" w:type="dxa"/>
            <w:tcBorders>
              <w:bottom w:val="single" w:sz="4" w:space="0" w:color="auto"/>
            </w:tcBorders>
          </w:tcPr>
          <w:p w14:paraId="12CC98F0" w14:textId="77777777" w:rsidR="002B27EB" w:rsidRPr="002B27EB" w:rsidRDefault="002B27EB" w:rsidP="007C7A08">
            <w:pPr>
              <w:rPr>
                <w:sz w:val="16"/>
                <w:szCs w:val="16"/>
              </w:rPr>
            </w:pPr>
            <w:r w:rsidRPr="002B27EB">
              <w:rPr>
                <w:sz w:val="16"/>
                <w:szCs w:val="16"/>
              </w:rPr>
              <w:t>Uczucie zmęczenia</w:t>
            </w:r>
          </w:p>
        </w:tc>
      </w:tr>
    </w:tbl>
    <w:p w14:paraId="726AFFFB" w14:textId="148600D0" w:rsidR="00940967" w:rsidRPr="00940967" w:rsidRDefault="00940967" w:rsidP="00940967">
      <w:pPr>
        <w:widowControl w:val="0"/>
        <w:suppressAutoHyphens w:val="0"/>
        <w:autoSpaceDE w:val="0"/>
        <w:autoSpaceDN w:val="0"/>
        <w:rPr>
          <w:sz w:val="18"/>
          <w:szCs w:val="18"/>
          <w:lang w:eastAsia="pl-PL" w:bidi="pl-PL"/>
        </w:rPr>
      </w:pPr>
      <w:r w:rsidRPr="00940967">
        <w:rPr>
          <w:sz w:val="18"/>
          <w:szCs w:val="18"/>
          <w:lang w:eastAsia="pl-PL" w:bidi="pl-PL"/>
        </w:rPr>
        <w:t>Długotrwałe stosowanie dimenhydraminy może prowadzić do zależności lekowej.</w:t>
      </w:r>
    </w:p>
    <w:p w14:paraId="0DEB2EC8" w14:textId="77777777" w:rsidR="00940967" w:rsidRPr="00940967" w:rsidRDefault="00940967" w:rsidP="00940967">
      <w:pPr>
        <w:widowControl w:val="0"/>
        <w:tabs>
          <w:tab w:val="left" w:pos="284"/>
        </w:tabs>
        <w:suppressAutoHyphens w:val="0"/>
        <w:autoSpaceDE w:val="0"/>
        <w:autoSpaceDN w:val="0"/>
        <w:ind w:left="284" w:hanging="284"/>
        <w:rPr>
          <w:sz w:val="18"/>
          <w:szCs w:val="18"/>
          <w:lang w:eastAsia="pl-PL" w:bidi="pl-PL"/>
        </w:rPr>
      </w:pPr>
      <w:r w:rsidRPr="00940967">
        <w:rPr>
          <w:sz w:val="18"/>
          <w:szCs w:val="18"/>
          <w:vertAlign w:val="superscript"/>
          <w:lang w:eastAsia="pl-PL" w:bidi="pl-PL"/>
        </w:rPr>
        <w:t>1</w:t>
      </w:r>
      <w:r w:rsidRPr="00940967">
        <w:rPr>
          <w:sz w:val="18"/>
          <w:szCs w:val="18"/>
          <w:lang w:eastAsia="pl-PL" w:bidi="pl-PL"/>
        </w:rPr>
        <w:tab/>
        <w:t>Szczególnie u dzieci, podczas stosowania dimenhydraminy, mogą wystąpić reakcje paradoksalne (bezsenność, nerwowość, zmieszanie, drgawki, drażliwość, euforię, delirium, kołatanie serca i drgawki).</w:t>
      </w:r>
    </w:p>
    <w:p w14:paraId="126E6608" w14:textId="77777777" w:rsidR="00940967" w:rsidRPr="00940967" w:rsidRDefault="00940967" w:rsidP="00940967">
      <w:pPr>
        <w:widowControl w:val="0"/>
        <w:tabs>
          <w:tab w:val="left" w:pos="284"/>
        </w:tabs>
        <w:suppressAutoHyphens w:val="0"/>
        <w:autoSpaceDE w:val="0"/>
        <w:autoSpaceDN w:val="0"/>
        <w:ind w:left="284" w:hanging="284"/>
        <w:rPr>
          <w:sz w:val="18"/>
          <w:szCs w:val="18"/>
          <w:lang w:eastAsia="pl-PL" w:bidi="pl-PL"/>
        </w:rPr>
      </w:pPr>
      <w:r w:rsidRPr="00940967">
        <w:rPr>
          <w:sz w:val="18"/>
          <w:szCs w:val="18"/>
          <w:vertAlign w:val="superscript"/>
          <w:lang w:eastAsia="pl-PL" w:bidi="pl-PL"/>
        </w:rPr>
        <w:t>2</w:t>
      </w:r>
      <w:r w:rsidRPr="00940967">
        <w:rPr>
          <w:sz w:val="18"/>
          <w:szCs w:val="18"/>
          <w:lang w:eastAsia="pl-PL" w:bidi="pl-PL"/>
        </w:rPr>
        <w:tab/>
        <w:t>Może być związane z aktywnością przeciwcholinergiczną dimenhydraminy</w:t>
      </w:r>
    </w:p>
    <w:p w14:paraId="304CFD4D" w14:textId="77777777" w:rsidR="00940967" w:rsidRPr="00940967" w:rsidRDefault="00940967" w:rsidP="00940967">
      <w:pPr>
        <w:widowControl w:val="0"/>
        <w:tabs>
          <w:tab w:val="left" w:pos="284"/>
        </w:tabs>
        <w:suppressAutoHyphens w:val="0"/>
        <w:autoSpaceDE w:val="0"/>
        <w:autoSpaceDN w:val="0"/>
        <w:ind w:left="284" w:hanging="284"/>
        <w:rPr>
          <w:sz w:val="18"/>
          <w:szCs w:val="18"/>
          <w:lang w:eastAsia="pl-PL" w:bidi="pl-PL"/>
        </w:rPr>
      </w:pPr>
      <w:r w:rsidRPr="00940967">
        <w:rPr>
          <w:sz w:val="18"/>
          <w:szCs w:val="18"/>
          <w:vertAlign w:val="superscript"/>
          <w:lang w:eastAsia="pl-PL" w:bidi="pl-PL"/>
        </w:rPr>
        <w:t>3</w:t>
      </w:r>
      <w:r w:rsidRPr="00940967">
        <w:rPr>
          <w:sz w:val="18"/>
          <w:szCs w:val="18"/>
          <w:lang w:eastAsia="pl-PL" w:bidi="pl-PL"/>
        </w:rPr>
        <w:tab/>
        <w:t>Zazwyczaj związane z przedawkowaniem</w:t>
      </w:r>
    </w:p>
    <w:p w14:paraId="149E35E3" w14:textId="77777777" w:rsidR="00940967" w:rsidRDefault="00940967" w:rsidP="00940967">
      <w:pPr>
        <w:widowControl w:val="0"/>
        <w:tabs>
          <w:tab w:val="left" w:pos="284"/>
        </w:tabs>
        <w:suppressAutoHyphens w:val="0"/>
        <w:autoSpaceDE w:val="0"/>
        <w:autoSpaceDN w:val="0"/>
        <w:ind w:left="284" w:hanging="284"/>
        <w:rPr>
          <w:sz w:val="18"/>
          <w:szCs w:val="18"/>
          <w:lang w:eastAsia="pl-PL" w:bidi="pl-PL"/>
        </w:rPr>
      </w:pPr>
      <w:r w:rsidRPr="00940967">
        <w:rPr>
          <w:sz w:val="18"/>
          <w:szCs w:val="18"/>
          <w:vertAlign w:val="superscript"/>
          <w:lang w:eastAsia="pl-PL" w:bidi="pl-PL"/>
        </w:rPr>
        <w:t>4</w:t>
      </w:r>
      <w:r w:rsidRPr="00940967">
        <w:rPr>
          <w:sz w:val="18"/>
          <w:szCs w:val="18"/>
          <w:lang w:eastAsia="pl-PL" w:bidi="pl-PL"/>
        </w:rPr>
        <w:tab/>
        <w:t>Przyjmowanie leku z posiłkiem może złagodzić objawy</w:t>
      </w:r>
    </w:p>
    <w:p w14:paraId="73D9D9A4" w14:textId="77777777" w:rsidR="00940967" w:rsidRDefault="00940967" w:rsidP="00940967">
      <w:pPr>
        <w:widowControl w:val="0"/>
        <w:tabs>
          <w:tab w:val="left" w:pos="284"/>
        </w:tabs>
        <w:suppressAutoHyphens w:val="0"/>
        <w:autoSpaceDE w:val="0"/>
        <w:autoSpaceDN w:val="0"/>
        <w:ind w:left="284" w:hanging="284"/>
        <w:rPr>
          <w:sz w:val="18"/>
          <w:szCs w:val="18"/>
          <w:lang w:eastAsia="pl-PL" w:bidi="pl-PL"/>
        </w:rPr>
      </w:pPr>
    </w:p>
    <w:p w14:paraId="2F7B97F0" w14:textId="77777777" w:rsidR="00940967" w:rsidRDefault="00940967" w:rsidP="00940967">
      <w:pPr>
        <w:widowControl w:val="0"/>
        <w:tabs>
          <w:tab w:val="left" w:pos="284"/>
        </w:tabs>
        <w:suppressAutoHyphens w:val="0"/>
        <w:autoSpaceDE w:val="0"/>
        <w:autoSpaceDN w:val="0"/>
        <w:ind w:left="284" w:hanging="284"/>
        <w:rPr>
          <w:b/>
          <w:bCs/>
          <w:sz w:val="18"/>
          <w:szCs w:val="18"/>
          <w:lang w:eastAsia="pl-PL" w:bidi="pl-PL"/>
        </w:rPr>
      </w:pPr>
      <w:r w:rsidRPr="00940967">
        <w:rPr>
          <w:b/>
          <w:bCs/>
          <w:sz w:val="18"/>
          <w:szCs w:val="18"/>
          <w:lang w:eastAsia="pl-PL" w:bidi="pl-PL"/>
        </w:rPr>
        <w:t>Działania niepożądane obserwowane po stosowaniu kofeiny:</w:t>
      </w:r>
    </w:p>
    <w:p w14:paraId="30B312E9" w14:textId="77777777" w:rsidR="009E43D2" w:rsidRPr="00940967" w:rsidRDefault="009E43D2" w:rsidP="00940967">
      <w:pPr>
        <w:widowControl w:val="0"/>
        <w:tabs>
          <w:tab w:val="left" w:pos="284"/>
        </w:tabs>
        <w:suppressAutoHyphens w:val="0"/>
        <w:autoSpaceDE w:val="0"/>
        <w:autoSpaceDN w:val="0"/>
        <w:ind w:left="284" w:hanging="284"/>
        <w:rPr>
          <w:b/>
          <w:bCs/>
          <w:sz w:val="18"/>
          <w:szCs w:val="18"/>
          <w:lang w:eastAsia="pl-PL" w:bidi="pl-PL"/>
        </w:rPr>
      </w:pPr>
    </w:p>
    <w:tbl>
      <w:tblPr>
        <w:tblW w:w="993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627"/>
        <w:gridCol w:w="2894"/>
        <w:gridCol w:w="3414"/>
      </w:tblGrid>
      <w:tr w:rsidR="00940967" w:rsidRPr="009E43D2" w14:paraId="7B3462D8" w14:textId="77777777" w:rsidTr="00940967">
        <w:trPr>
          <w:trHeight w:val="552"/>
        </w:trPr>
        <w:tc>
          <w:tcPr>
            <w:tcW w:w="3627" w:type="dxa"/>
            <w:tcBorders>
              <w:top w:val="single" w:sz="4" w:space="0" w:color="auto"/>
            </w:tcBorders>
          </w:tcPr>
          <w:p w14:paraId="25C2CD9F" w14:textId="77777777" w:rsidR="00940967" w:rsidRPr="009E43D2" w:rsidRDefault="00940967" w:rsidP="007C7A08">
            <w:pPr>
              <w:rPr>
                <w:sz w:val="16"/>
                <w:szCs w:val="16"/>
              </w:rPr>
            </w:pPr>
            <w:r w:rsidRPr="009E43D2">
              <w:rPr>
                <w:sz w:val="16"/>
                <w:szCs w:val="16"/>
              </w:rPr>
              <w:t>Klasyfikacja układów i narządów MedDRA</w:t>
            </w:r>
          </w:p>
        </w:tc>
        <w:tc>
          <w:tcPr>
            <w:tcW w:w="2894" w:type="dxa"/>
            <w:tcBorders>
              <w:top w:val="single" w:sz="4" w:space="0" w:color="auto"/>
            </w:tcBorders>
          </w:tcPr>
          <w:p w14:paraId="3D57039C" w14:textId="77777777" w:rsidR="00940967" w:rsidRPr="009E43D2" w:rsidRDefault="00940967" w:rsidP="007C7A08">
            <w:pPr>
              <w:rPr>
                <w:sz w:val="16"/>
                <w:szCs w:val="16"/>
              </w:rPr>
            </w:pPr>
            <w:r w:rsidRPr="009E43D2">
              <w:rPr>
                <w:sz w:val="16"/>
                <w:szCs w:val="16"/>
              </w:rPr>
              <w:t>Często</w:t>
            </w:r>
          </w:p>
        </w:tc>
        <w:tc>
          <w:tcPr>
            <w:tcW w:w="3414" w:type="dxa"/>
            <w:tcBorders>
              <w:top w:val="single" w:sz="4" w:space="0" w:color="auto"/>
            </w:tcBorders>
          </w:tcPr>
          <w:p w14:paraId="4E325003" w14:textId="77777777" w:rsidR="00940967" w:rsidRPr="009E43D2" w:rsidRDefault="00940967" w:rsidP="007C7A08">
            <w:pPr>
              <w:rPr>
                <w:sz w:val="16"/>
                <w:szCs w:val="16"/>
              </w:rPr>
            </w:pPr>
            <w:r w:rsidRPr="009E43D2">
              <w:rPr>
                <w:sz w:val="16"/>
                <w:szCs w:val="16"/>
              </w:rPr>
              <w:t>Niezbyt często</w:t>
            </w:r>
          </w:p>
        </w:tc>
      </w:tr>
      <w:tr w:rsidR="00940967" w:rsidRPr="009E43D2" w14:paraId="2620CF0C" w14:textId="77777777" w:rsidTr="00940967">
        <w:trPr>
          <w:trHeight w:val="471"/>
        </w:trPr>
        <w:tc>
          <w:tcPr>
            <w:tcW w:w="3627" w:type="dxa"/>
          </w:tcPr>
          <w:p w14:paraId="23C0FDEB" w14:textId="77777777" w:rsidR="00940967" w:rsidRPr="009E43D2" w:rsidRDefault="00940967" w:rsidP="007C7A08">
            <w:pPr>
              <w:rPr>
                <w:sz w:val="16"/>
                <w:szCs w:val="16"/>
              </w:rPr>
            </w:pPr>
            <w:r w:rsidRPr="009E43D2">
              <w:rPr>
                <w:sz w:val="16"/>
                <w:szCs w:val="16"/>
              </w:rPr>
              <w:t>Zaburzenia metabolizmu i odżywiania</w:t>
            </w:r>
          </w:p>
        </w:tc>
        <w:tc>
          <w:tcPr>
            <w:tcW w:w="2894" w:type="dxa"/>
          </w:tcPr>
          <w:p w14:paraId="3DD9E72E" w14:textId="77777777" w:rsidR="00940967" w:rsidRPr="009E43D2" w:rsidRDefault="00940967" w:rsidP="007C7A08">
            <w:pPr>
              <w:rPr>
                <w:sz w:val="16"/>
                <w:szCs w:val="16"/>
              </w:rPr>
            </w:pPr>
          </w:p>
        </w:tc>
        <w:tc>
          <w:tcPr>
            <w:tcW w:w="3414" w:type="dxa"/>
          </w:tcPr>
          <w:p w14:paraId="6B869C23" w14:textId="77777777" w:rsidR="00940967" w:rsidRPr="009E43D2" w:rsidRDefault="00940967" w:rsidP="007C7A08">
            <w:pPr>
              <w:rPr>
                <w:sz w:val="16"/>
                <w:szCs w:val="16"/>
              </w:rPr>
            </w:pPr>
            <w:r w:rsidRPr="009E43D2">
              <w:rPr>
                <w:sz w:val="16"/>
                <w:szCs w:val="16"/>
              </w:rPr>
              <w:t>Zmniejszenie poziomu glukozy we krwi, zwiększenie poziomu glukozy we krwi</w:t>
            </w:r>
          </w:p>
        </w:tc>
      </w:tr>
      <w:tr w:rsidR="00940967" w:rsidRPr="009E43D2" w14:paraId="3C2C007D" w14:textId="77777777" w:rsidTr="00940967">
        <w:trPr>
          <w:trHeight w:val="471"/>
        </w:trPr>
        <w:tc>
          <w:tcPr>
            <w:tcW w:w="3627" w:type="dxa"/>
          </w:tcPr>
          <w:p w14:paraId="53B3BB3A" w14:textId="77777777" w:rsidR="00940967" w:rsidRPr="009E43D2" w:rsidRDefault="00940967" w:rsidP="007C7A08">
            <w:pPr>
              <w:rPr>
                <w:sz w:val="16"/>
                <w:szCs w:val="16"/>
              </w:rPr>
            </w:pPr>
            <w:r w:rsidRPr="009E43D2">
              <w:rPr>
                <w:sz w:val="16"/>
                <w:szCs w:val="16"/>
              </w:rPr>
              <w:t>Zaburzenia psychiczne</w:t>
            </w:r>
          </w:p>
        </w:tc>
        <w:tc>
          <w:tcPr>
            <w:tcW w:w="2894" w:type="dxa"/>
          </w:tcPr>
          <w:p w14:paraId="31227EEE" w14:textId="77777777" w:rsidR="00940967" w:rsidRPr="009E43D2" w:rsidRDefault="00940967" w:rsidP="007C7A08">
            <w:pPr>
              <w:rPr>
                <w:sz w:val="16"/>
                <w:szCs w:val="16"/>
              </w:rPr>
            </w:pPr>
            <w:r w:rsidRPr="009E43D2">
              <w:rPr>
                <w:sz w:val="16"/>
                <w:szCs w:val="16"/>
              </w:rPr>
              <w:t>Bezsenność, pobudzenie</w:t>
            </w:r>
          </w:p>
        </w:tc>
        <w:tc>
          <w:tcPr>
            <w:tcW w:w="3414" w:type="dxa"/>
          </w:tcPr>
          <w:p w14:paraId="136C48A8" w14:textId="77777777" w:rsidR="00940967" w:rsidRPr="009E43D2" w:rsidRDefault="00940967" w:rsidP="007C7A08">
            <w:pPr>
              <w:rPr>
                <w:sz w:val="16"/>
                <w:szCs w:val="16"/>
              </w:rPr>
            </w:pPr>
            <w:r w:rsidRPr="009E43D2">
              <w:rPr>
                <w:sz w:val="16"/>
                <w:szCs w:val="16"/>
              </w:rPr>
              <w:t>Niepokój (duże dawki mogą powodować nerwicę i lęk), drażliwość</w:t>
            </w:r>
          </w:p>
        </w:tc>
      </w:tr>
      <w:tr w:rsidR="00940967" w:rsidRPr="009E43D2" w14:paraId="33BF4A17" w14:textId="77777777" w:rsidTr="00940967">
        <w:trPr>
          <w:trHeight w:val="246"/>
        </w:trPr>
        <w:tc>
          <w:tcPr>
            <w:tcW w:w="3627" w:type="dxa"/>
          </w:tcPr>
          <w:p w14:paraId="7F1BA2BC" w14:textId="77777777" w:rsidR="00940967" w:rsidRPr="009E43D2" w:rsidRDefault="00940967" w:rsidP="007C7A08">
            <w:pPr>
              <w:rPr>
                <w:sz w:val="16"/>
                <w:szCs w:val="16"/>
              </w:rPr>
            </w:pPr>
            <w:r w:rsidRPr="009E43D2">
              <w:rPr>
                <w:sz w:val="16"/>
                <w:szCs w:val="16"/>
              </w:rPr>
              <w:t>Zaburzenia układu nerwowego</w:t>
            </w:r>
          </w:p>
        </w:tc>
        <w:tc>
          <w:tcPr>
            <w:tcW w:w="2894" w:type="dxa"/>
          </w:tcPr>
          <w:p w14:paraId="623EF2A4" w14:textId="77777777" w:rsidR="00940967" w:rsidRPr="009E43D2" w:rsidRDefault="00940967" w:rsidP="007C7A08">
            <w:pPr>
              <w:rPr>
                <w:sz w:val="16"/>
                <w:szCs w:val="16"/>
              </w:rPr>
            </w:pPr>
          </w:p>
        </w:tc>
        <w:tc>
          <w:tcPr>
            <w:tcW w:w="3414" w:type="dxa"/>
          </w:tcPr>
          <w:p w14:paraId="23EF7098" w14:textId="77777777" w:rsidR="00940967" w:rsidRPr="009E43D2" w:rsidRDefault="00940967" w:rsidP="007C7A08">
            <w:pPr>
              <w:rPr>
                <w:sz w:val="16"/>
                <w:szCs w:val="16"/>
              </w:rPr>
            </w:pPr>
            <w:r w:rsidRPr="009E43D2">
              <w:rPr>
                <w:sz w:val="16"/>
                <w:szCs w:val="16"/>
              </w:rPr>
              <w:t>Bóle głowy</w:t>
            </w:r>
          </w:p>
        </w:tc>
      </w:tr>
      <w:tr w:rsidR="00940967" w:rsidRPr="009E43D2" w14:paraId="021447B5" w14:textId="77777777" w:rsidTr="00940967">
        <w:trPr>
          <w:trHeight w:val="264"/>
        </w:trPr>
        <w:tc>
          <w:tcPr>
            <w:tcW w:w="3627" w:type="dxa"/>
          </w:tcPr>
          <w:p w14:paraId="4C8A2A26" w14:textId="77777777" w:rsidR="00940967" w:rsidRPr="009E43D2" w:rsidRDefault="00940967" w:rsidP="007C7A08">
            <w:pPr>
              <w:rPr>
                <w:sz w:val="16"/>
                <w:szCs w:val="16"/>
              </w:rPr>
            </w:pPr>
            <w:r w:rsidRPr="009E43D2">
              <w:rPr>
                <w:sz w:val="16"/>
                <w:szCs w:val="16"/>
              </w:rPr>
              <w:t>Zaburzenia ucha i błędnika</w:t>
            </w:r>
          </w:p>
        </w:tc>
        <w:tc>
          <w:tcPr>
            <w:tcW w:w="2894" w:type="dxa"/>
          </w:tcPr>
          <w:p w14:paraId="6B7FCCD1" w14:textId="77777777" w:rsidR="00940967" w:rsidRPr="009E43D2" w:rsidRDefault="00940967" w:rsidP="007C7A08">
            <w:pPr>
              <w:rPr>
                <w:sz w:val="16"/>
                <w:szCs w:val="16"/>
              </w:rPr>
            </w:pPr>
          </w:p>
        </w:tc>
        <w:tc>
          <w:tcPr>
            <w:tcW w:w="3414" w:type="dxa"/>
          </w:tcPr>
          <w:p w14:paraId="20E1660A" w14:textId="77777777" w:rsidR="00940967" w:rsidRPr="009E43D2" w:rsidRDefault="00940967" w:rsidP="007C7A08">
            <w:pPr>
              <w:rPr>
                <w:sz w:val="16"/>
                <w:szCs w:val="16"/>
              </w:rPr>
            </w:pPr>
            <w:r w:rsidRPr="009E43D2">
              <w:rPr>
                <w:sz w:val="16"/>
                <w:szCs w:val="16"/>
              </w:rPr>
              <w:t>Szumy uszne</w:t>
            </w:r>
          </w:p>
        </w:tc>
      </w:tr>
      <w:tr w:rsidR="00940967" w:rsidRPr="009E43D2" w14:paraId="154C3B67" w14:textId="77777777" w:rsidTr="00940967">
        <w:trPr>
          <w:trHeight w:val="268"/>
        </w:trPr>
        <w:tc>
          <w:tcPr>
            <w:tcW w:w="3627" w:type="dxa"/>
          </w:tcPr>
          <w:p w14:paraId="5F0F9576" w14:textId="77777777" w:rsidR="00940967" w:rsidRPr="009E43D2" w:rsidRDefault="00940967" w:rsidP="007C7A08">
            <w:pPr>
              <w:rPr>
                <w:sz w:val="16"/>
                <w:szCs w:val="16"/>
              </w:rPr>
            </w:pPr>
            <w:r w:rsidRPr="009E43D2">
              <w:rPr>
                <w:sz w:val="16"/>
                <w:szCs w:val="16"/>
              </w:rPr>
              <w:t>Zaburzenia naczyniowe</w:t>
            </w:r>
          </w:p>
        </w:tc>
        <w:tc>
          <w:tcPr>
            <w:tcW w:w="2894" w:type="dxa"/>
          </w:tcPr>
          <w:p w14:paraId="73E5BE3C" w14:textId="77777777" w:rsidR="00940967" w:rsidRPr="009E43D2" w:rsidRDefault="00940967" w:rsidP="007C7A08">
            <w:pPr>
              <w:rPr>
                <w:sz w:val="16"/>
                <w:szCs w:val="16"/>
              </w:rPr>
            </w:pPr>
          </w:p>
        </w:tc>
        <w:tc>
          <w:tcPr>
            <w:tcW w:w="3414" w:type="dxa"/>
          </w:tcPr>
          <w:p w14:paraId="4FC009FE" w14:textId="77777777" w:rsidR="00940967" w:rsidRPr="009E43D2" w:rsidRDefault="00940967" w:rsidP="007C7A08">
            <w:pPr>
              <w:rPr>
                <w:sz w:val="16"/>
                <w:szCs w:val="16"/>
              </w:rPr>
            </w:pPr>
            <w:r w:rsidRPr="009E43D2">
              <w:rPr>
                <w:sz w:val="16"/>
                <w:szCs w:val="16"/>
              </w:rPr>
              <w:t>Uderzenia gorąca</w:t>
            </w:r>
          </w:p>
        </w:tc>
      </w:tr>
      <w:tr w:rsidR="00940967" w:rsidRPr="009E43D2" w14:paraId="13A568E4" w14:textId="77777777" w:rsidTr="00940967">
        <w:trPr>
          <w:trHeight w:val="471"/>
        </w:trPr>
        <w:tc>
          <w:tcPr>
            <w:tcW w:w="3627" w:type="dxa"/>
          </w:tcPr>
          <w:p w14:paraId="288FA800" w14:textId="77777777" w:rsidR="00940967" w:rsidRPr="009E43D2" w:rsidRDefault="00940967" w:rsidP="007C7A08">
            <w:pPr>
              <w:rPr>
                <w:sz w:val="16"/>
                <w:szCs w:val="16"/>
              </w:rPr>
            </w:pPr>
            <w:r w:rsidRPr="009E43D2">
              <w:rPr>
                <w:sz w:val="16"/>
                <w:szCs w:val="16"/>
              </w:rPr>
              <w:t>Zaburzenia serca</w:t>
            </w:r>
          </w:p>
        </w:tc>
        <w:tc>
          <w:tcPr>
            <w:tcW w:w="2894" w:type="dxa"/>
          </w:tcPr>
          <w:p w14:paraId="2A2CC9B7" w14:textId="77777777" w:rsidR="00940967" w:rsidRPr="009E43D2" w:rsidRDefault="00940967" w:rsidP="007C7A08">
            <w:pPr>
              <w:rPr>
                <w:sz w:val="16"/>
                <w:szCs w:val="16"/>
              </w:rPr>
            </w:pPr>
            <w:r w:rsidRPr="009E43D2">
              <w:rPr>
                <w:sz w:val="16"/>
                <w:szCs w:val="16"/>
              </w:rPr>
              <w:t>Niedociśnienie tętnicze, nadciśnienie tętnicze</w:t>
            </w:r>
          </w:p>
        </w:tc>
        <w:tc>
          <w:tcPr>
            <w:tcW w:w="3414" w:type="dxa"/>
          </w:tcPr>
          <w:p w14:paraId="1343306C" w14:textId="77777777" w:rsidR="00940967" w:rsidRPr="009E43D2" w:rsidRDefault="00940967" w:rsidP="007C7A08">
            <w:pPr>
              <w:rPr>
                <w:sz w:val="16"/>
                <w:szCs w:val="16"/>
              </w:rPr>
            </w:pPr>
            <w:r w:rsidRPr="009E43D2">
              <w:rPr>
                <w:sz w:val="16"/>
                <w:szCs w:val="16"/>
              </w:rPr>
              <w:t>Tachykardia, zaburzenia rytmu serca, kołatanie serca</w:t>
            </w:r>
          </w:p>
        </w:tc>
      </w:tr>
      <w:tr w:rsidR="00940967" w:rsidRPr="009E43D2" w14:paraId="1A4D1482" w14:textId="77777777" w:rsidTr="00940967">
        <w:trPr>
          <w:trHeight w:val="471"/>
        </w:trPr>
        <w:tc>
          <w:tcPr>
            <w:tcW w:w="3627" w:type="dxa"/>
          </w:tcPr>
          <w:p w14:paraId="4BB5BB82" w14:textId="77777777" w:rsidR="00940967" w:rsidRPr="009E43D2" w:rsidRDefault="00940967" w:rsidP="007C7A08">
            <w:pPr>
              <w:rPr>
                <w:sz w:val="16"/>
                <w:szCs w:val="16"/>
              </w:rPr>
            </w:pPr>
            <w:r w:rsidRPr="009E43D2">
              <w:rPr>
                <w:sz w:val="16"/>
                <w:szCs w:val="16"/>
              </w:rPr>
              <w:t>Zaburzenia układu oddechowego, klatki piersiowej i śródpiersia</w:t>
            </w:r>
          </w:p>
        </w:tc>
        <w:tc>
          <w:tcPr>
            <w:tcW w:w="2894" w:type="dxa"/>
          </w:tcPr>
          <w:p w14:paraId="15E74B69" w14:textId="77777777" w:rsidR="00940967" w:rsidRPr="009E43D2" w:rsidRDefault="00940967" w:rsidP="007C7A08">
            <w:pPr>
              <w:rPr>
                <w:sz w:val="16"/>
                <w:szCs w:val="16"/>
              </w:rPr>
            </w:pPr>
          </w:p>
        </w:tc>
        <w:tc>
          <w:tcPr>
            <w:tcW w:w="3414" w:type="dxa"/>
          </w:tcPr>
          <w:p w14:paraId="6544C52C" w14:textId="77777777" w:rsidR="00940967" w:rsidRPr="009E43D2" w:rsidRDefault="00940967" w:rsidP="007C7A08">
            <w:pPr>
              <w:rPr>
                <w:sz w:val="16"/>
                <w:szCs w:val="16"/>
              </w:rPr>
            </w:pPr>
            <w:r w:rsidRPr="009E43D2">
              <w:rPr>
                <w:sz w:val="16"/>
                <w:szCs w:val="16"/>
              </w:rPr>
              <w:t>Przyspieszony oddech</w:t>
            </w:r>
          </w:p>
        </w:tc>
      </w:tr>
      <w:tr w:rsidR="00940967" w:rsidRPr="009E43D2" w14:paraId="3D7D0D0B" w14:textId="77777777" w:rsidTr="00940967">
        <w:trPr>
          <w:trHeight w:val="298"/>
        </w:trPr>
        <w:tc>
          <w:tcPr>
            <w:tcW w:w="3627" w:type="dxa"/>
          </w:tcPr>
          <w:p w14:paraId="1A188BCE" w14:textId="77777777" w:rsidR="00940967" w:rsidRPr="009E43D2" w:rsidRDefault="00940967" w:rsidP="007C7A08">
            <w:pPr>
              <w:rPr>
                <w:sz w:val="16"/>
                <w:szCs w:val="16"/>
              </w:rPr>
            </w:pPr>
            <w:r w:rsidRPr="009E43D2">
              <w:rPr>
                <w:sz w:val="16"/>
                <w:szCs w:val="16"/>
              </w:rPr>
              <w:t>Zaburzenia żołądka i jelit</w:t>
            </w:r>
          </w:p>
        </w:tc>
        <w:tc>
          <w:tcPr>
            <w:tcW w:w="2894" w:type="dxa"/>
          </w:tcPr>
          <w:p w14:paraId="3AB829BD" w14:textId="77777777" w:rsidR="00940967" w:rsidRPr="009E43D2" w:rsidRDefault="00940967" w:rsidP="007C7A08">
            <w:pPr>
              <w:rPr>
                <w:sz w:val="16"/>
                <w:szCs w:val="16"/>
              </w:rPr>
            </w:pPr>
          </w:p>
        </w:tc>
        <w:tc>
          <w:tcPr>
            <w:tcW w:w="3414" w:type="dxa"/>
          </w:tcPr>
          <w:p w14:paraId="46261193" w14:textId="77777777" w:rsidR="00940967" w:rsidRPr="009E43D2" w:rsidRDefault="00940967" w:rsidP="007C7A08">
            <w:pPr>
              <w:rPr>
                <w:sz w:val="16"/>
                <w:szCs w:val="16"/>
              </w:rPr>
            </w:pPr>
            <w:r w:rsidRPr="009E43D2">
              <w:rPr>
                <w:sz w:val="16"/>
                <w:szCs w:val="16"/>
              </w:rPr>
              <w:t>Nudności, wymioty, biegunka, ból brzucha</w:t>
            </w:r>
          </w:p>
        </w:tc>
      </w:tr>
      <w:tr w:rsidR="00940967" w:rsidRPr="009E43D2" w14:paraId="70DA76DF" w14:textId="77777777" w:rsidTr="00940967">
        <w:trPr>
          <w:trHeight w:val="234"/>
        </w:trPr>
        <w:tc>
          <w:tcPr>
            <w:tcW w:w="3627" w:type="dxa"/>
          </w:tcPr>
          <w:p w14:paraId="016A3445" w14:textId="77777777" w:rsidR="00940967" w:rsidRPr="009E43D2" w:rsidRDefault="00940967" w:rsidP="007C7A08">
            <w:pPr>
              <w:rPr>
                <w:sz w:val="16"/>
                <w:szCs w:val="16"/>
              </w:rPr>
            </w:pPr>
            <w:r w:rsidRPr="009E43D2">
              <w:rPr>
                <w:sz w:val="16"/>
                <w:szCs w:val="16"/>
              </w:rPr>
              <w:t>Zaburzenia nerek i dróg moczowych</w:t>
            </w:r>
          </w:p>
        </w:tc>
        <w:tc>
          <w:tcPr>
            <w:tcW w:w="2894" w:type="dxa"/>
          </w:tcPr>
          <w:p w14:paraId="6263E34D" w14:textId="77777777" w:rsidR="00940967" w:rsidRPr="009E43D2" w:rsidRDefault="00940967" w:rsidP="007C7A08">
            <w:pPr>
              <w:rPr>
                <w:sz w:val="16"/>
                <w:szCs w:val="16"/>
              </w:rPr>
            </w:pPr>
          </w:p>
        </w:tc>
        <w:tc>
          <w:tcPr>
            <w:tcW w:w="3414" w:type="dxa"/>
          </w:tcPr>
          <w:p w14:paraId="2D13EF92" w14:textId="77777777" w:rsidR="00940967" w:rsidRPr="009E43D2" w:rsidRDefault="00940967" w:rsidP="007C7A08">
            <w:pPr>
              <w:rPr>
                <w:sz w:val="16"/>
                <w:szCs w:val="16"/>
              </w:rPr>
            </w:pPr>
            <w:r w:rsidRPr="009E43D2">
              <w:rPr>
                <w:sz w:val="16"/>
                <w:szCs w:val="16"/>
              </w:rPr>
              <w:t>Częstomocz</w:t>
            </w:r>
          </w:p>
        </w:tc>
      </w:tr>
    </w:tbl>
    <w:p w14:paraId="077F5D9F" w14:textId="77777777" w:rsidR="00940967" w:rsidRPr="00940967" w:rsidRDefault="00940967" w:rsidP="00940967">
      <w:pPr>
        <w:widowControl w:val="0"/>
        <w:tabs>
          <w:tab w:val="left" w:pos="284"/>
        </w:tabs>
        <w:suppressAutoHyphens w:val="0"/>
        <w:autoSpaceDE w:val="0"/>
        <w:autoSpaceDN w:val="0"/>
        <w:ind w:left="284" w:hanging="284"/>
        <w:rPr>
          <w:sz w:val="18"/>
          <w:szCs w:val="18"/>
          <w:lang w:eastAsia="pl-PL" w:bidi="pl-PL"/>
        </w:rPr>
      </w:pPr>
    </w:p>
    <w:p w14:paraId="15F04C69" w14:textId="77777777" w:rsidR="00940967" w:rsidRPr="00940967" w:rsidRDefault="00940967" w:rsidP="00940967">
      <w:pPr>
        <w:widowControl w:val="0"/>
        <w:suppressAutoHyphens w:val="0"/>
        <w:autoSpaceDE w:val="0"/>
        <w:autoSpaceDN w:val="0"/>
        <w:rPr>
          <w:sz w:val="18"/>
          <w:szCs w:val="18"/>
          <w:u w:val="single"/>
          <w:lang w:eastAsia="pl-PL" w:bidi="pl-PL"/>
        </w:rPr>
      </w:pPr>
      <w:r w:rsidRPr="00940967">
        <w:rPr>
          <w:sz w:val="18"/>
          <w:szCs w:val="18"/>
          <w:u w:val="single"/>
          <w:lang w:eastAsia="pl-PL" w:bidi="pl-PL"/>
        </w:rPr>
        <w:t>Zgłaszanie podejrzewanych działań niepożądanych</w:t>
      </w:r>
    </w:p>
    <w:p w14:paraId="1031B50C" w14:textId="774DBB62" w:rsidR="00940967" w:rsidRPr="009E43D2" w:rsidRDefault="00940967" w:rsidP="009E43D2">
      <w:pPr>
        <w:widowControl w:val="0"/>
        <w:suppressAutoHyphens w:val="0"/>
        <w:autoSpaceDE w:val="0"/>
        <w:autoSpaceDN w:val="0"/>
        <w:rPr>
          <w:sz w:val="18"/>
          <w:szCs w:val="18"/>
          <w:lang w:eastAsia="pl-PL" w:bidi="pl-PL"/>
        </w:rPr>
      </w:pPr>
      <w:r w:rsidRPr="00940967">
        <w:rPr>
          <w:sz w:val="18"/>
          <w:szCs w:val="18"/>
          <w:lang w:eastAsia="pl-PL" w:bidi="pl-PL"/>
        </w:rPr>
        <w:t>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w:t>
      </w:r>
      <w:r>
        <w:rPr>
          <w:sz w:val="18"/>
          <w:szCs w:val="18"/>
          <w:lang w:eastAsia="pl-PL" w:bidi="pl-PL"/>
        </w:rPr>
        <w:t xml:space="preserve"> </w:t>
      </w:r>
      <w:r w:rsidRPr="00940967">
        <w:rPr>
          <w:sz w:val="18"/>
          <w:szCs w:val="18"/>
          <w:lang w:eastAsia="pl-PL" w:bidi="pl-PL"/>
        </w:rPr>
        <w:t>Al. Jerozolimskie 181 C</w:t>
      </w:r>
      <w:r>
        <w:rPr>
          <w:sz w:val="18"/>
          <w:szCs w:val="18"/>
          <w:lang w:eastAsia="pl-PL" w:bidi="pl-PL"/>
        </w:rPr>
        <w:t xml:space="preserve">, </w:t>
      </w:r>
      <w:r w:rsidRPr="00940967">
        <w:rPr>
          <w:sz w:val="18"/>
          <w:szCs w:val="18"/>
          <w:lang w:eastAsia="pl-PL" w:bidi="pl-PL"/>
        </w:rPr>
        <w:t>02 - 222 Warszawa</w:t>
      </w:r>
      <w:r>
        <w:rPr>
          <w:sz w:val="18"/>
          <w:szCs w:val="18"/>
          <w:lang w:eastAsia="pl-PL" w:bidi="pl-PL"/>
        </w:rPr>
        <w:t xml:space="preserve">, </w:t>
      </w:r>
      <w:r w:rsidRPr="00940967">
        <w:rPr>
          <w:sz w:val="18"/>
          <w:szCs w:val="18"/>
          <w:lang w:eastAsia="pl-PL" w:bidi="pl-PL"/>
        </w:rPr>
        <w:t>Tel.: + 48 22 49 21</w:t>
      </w:r>
      <w:r w:rsidR="009E43D2">
        <w:rPr>
          <w:sz w:val="18"/>
          <w:szCs w:val="18"/>
          <w:lang w:eastAsia="pl-PL" w:bidi="pl-PL"/>
        </w:rPr>
        <w:t> </w:t>
      </w:r>
      <w:r w:rsidRPr="00940967">
        <w:rPr>
          <w:sz w:val="18"/>
          <w:szCs w:val="18"/>
          <w:lang w:eastAsia="pl-PL" w:bidi="pl-PL"/>
        </w:rPr>
        <w:t>301</w:t>
      </w:r>
      <w:r w:rsidR="009E43D2">
        <w:rPr>
          <w:sz w:val="18"/>
          <w:szCs w:val="18"/>
          <w:lang w:eastAsia="pl-PL" w:bidi="pl-PL"/>
        </w:rPr>
        <w:t xml:space="preserve">, </w:t>
      </w:r>
      <w:r w:rsidRPr="00940967">
        <w:rPr>
          <w:sz w:val="18"/>
          <w:szCs w:val="18"/>
          <w:lang w:val="pt-BR" w:eastAsia="pl-PL" w:bidi="pl-PL"/>
        </w:rPr>
        <w:t>Faks: + 48 22 49 21</w:t>
      </w:r>
      <w:r>
        <w:rPr>
          <w:spacing w:val="-1"/>
          <w:sz w:val="18"/>
          <w:szCs w:val="18"/>
          <w:lang w:val="pt-BR" w:eastAsia="pl-PL" w:bidi="pl-PL"/>
        </w:rPr>
        <w:t> </w:t>
      </w:r>
      <w:r w:rsidRPr="00940967">
        <w:rPr>
          <w:sz w:val="18"/>
          <w:szCs w:val="18"/>
          <w:lang w:val="pt-BR" w:eastAsia="pl-PL" w:bidi="pl-PL"/>
        </w:rPr>
        <w:t>309</w:t>
      </w:r>
      <w:r>
        <w:rPr>
          <w:sz w:val="18"/>
          <w:szCs w:val="18"/>
          <w:lang w:val="pt-BR" w:eastAsia="pl-PL" w:bidi="pl-PL"/>
        </w:rPr>
        <w:t xml:space="preserve">. </w:t>
      </w:r>
      <w:r w:rsidRPr="00940967">
        <w:rPr>
          <w:sz w:val="18"/>
          <w:szCs w:val="18"/>
          <w:lang w:val="pt-BR" w:eastAsia="pl-PL" w:bidi="pl-PL"/>
        </w:rPr>
        <w:t xml:space="preserve">Strona internetowa: </w:t>
      </w:r>
      <w:hyperlink r:id="rId7" w:history="1">
        <w:r w:rsidRPr="00475B04">
          <w:rPr>
            <w:rStyle w:val="Hipercze"/>
            <w:sz w:val="18"/>
            <w:szCs w:val="18"/>
            <w:lang w:val="pt-BR" w:eastAsia="pl-PL" w:bidi="pl-PL"/>
          </w:rPr>
          <w:t>https://smz.ezdrowie.gov.pl</w:t>
        </w:r>
      </w:hyperlink>
      <w:r>
        <w:rPr>
          <w:sz w:val="18"/>
          <w:szCs w:val="18"/>
          <w:lang w:val="pt-BR" w:eastAsia="pl-PL" w:bidi="pl-PL"/>
        </w:rPr>
        <w:t xml:space="preserve">. </w:t>
      </w:r>
      <w:r w:rsidRPr="00940967">
        <w:rPr>
          <w:sz w:val="18"/>
          <w:szCs w:val="18"/>
          <w:lang w:eastAsia="pl-PL" w:bidi="pl-PL"/>
        </w:rPr>
        <w:t>Działania niepożądane można zgłaszać również podmiotowi odpowiedzialnemu.</w:t>
      </w:r>
    </w:p>
    <w:p w14:paraId="4406198D" w14:textId="5F3025B7" w:rsidR="00940967" w:rsidRPr="00940967" w:rsidRDefault="000931A1" w:rsidP="00940967">
      <w:pPr>
        <w:pStyle w:val="Tekstpodstawowy"/>
        <w:jc w:val="both"/>
        <w:rPr>
          <w:sz w:val="18"/>
          <w:szCs w:val="18"/>
          <w:lang w:eastAsia="pl-PL" w:bidi="pl-PL"/>
        </w:rPr>
      </w:pPr>
      <w:r w:rsidRPr="00BA60CD">
        <w:rPr>
          <w:b/>
          <w:bCs/>
          <w:sz w:val="18"/>
          <w:szCs w:val="18"/>
        </w:rPr>
        <w:t>Przedawkowanie</w:t>
      </w:r>
      <w:r w:rsidR="003A04A9">
        <w:rPr>
          <w:b/>
          <w:bCs/>
          <w:sz w:val="18"/>
          <w:szCs w:val="18"/>
        </w:rPr>
        <w:t>:</w:t>
      </w:r>
      <w:r w:rsidR="00940967">
        <w:rPr>
          <w:b/>
          <w:bCs/>
          <w:sz w:val="18"/>
          <w:szCs w:val="18"/>
        </w:rPr>
        <w:t xml:space="preserve"> </w:t>
      </w:r>
      <w:r w:rsidR="00940967" w:rsidRPr="00940967">
        <w:rPr>
          <w:sz w:val="18"/>
          <w:szCs w:val="18"/>
          <w:lang w:val="pl-PL" w:eastAsia="pl-PL" w:bidi="pl-PL"/>
        </w:rPr>
        <w:t xml:space="preserve">Pierwsze objawy przedawkowania występują po około 30 minut do 2 godzin od przyjęcia dawki toksycznej dimenhydraminy (25 mg/kg mc.) i polegają głównie na: bólach i zawrotach głowy, narastającym uczuciu zmęczenia i senności. Po pewnym czasie mogą wystąpić dodatkowo: świąd skóry, rozszerzenie naczyń krwionośnych skóry, rozszerzenie źrenic z ich zwolnioną reakcją na światło i porażeniem akomodacji, oczopląs, osłabienie siły mięśniowej, odruchów ścięgnistych </w:t>
      </w:r>
      <w:r w:rsidR="00940967" w:rsidRPr="00940967">
        <w:rPr>
          <w:sz w:val="18"/>
          <w:szCs w:val="18"/>
          <w:lang w:val="pl-PL" w:eastAsia="pl-PL" w:bidi="pl-PL"/>
        </w:rPr>
        <w:t xml:space="preserve"> </w:t>
      </w:r>
      <w:r w:rsidR="00940967" w:rsidRPr="00940967">
        <w:rPr>
          <w:sz w:val="18"/>
          <w:szCs w:val="18"/>
          <w:lang w:val="pl-PL" w:eastAsia="pl-PL" w:bidi="pl-PL"/>
        </w:rPr>
        <w:t>i zatrzymanie moczu. Czynność serca jest wyraźnie przyśpieszona, ciśnienie krwi podwyższone lub obniżone. W dalszym przebiegu stopniowo narastają objawy zahamowania czynności OUN (zaburzenia mowy, zaburzenia orientacji w czasie i przestrzeni, ataksja i śpiączka) lub pobudzenia czynności OUN (napady drgawkowe, omamy). Wyżej wymienione objawy są typowe dla zespołu cholinolitycznego.</w:t>
      </w:r>
      <w:r w:rsidR="00940967" w:rsidRPr="00940967">
        <w:rPr>
          <w:sz w:val="18"/>
          <w:szCs w:val="18"/>
          <w:lang w:val="pl-PL" w:eastAsia="pl-PL" w:bidi="pl-PL"/>
        </w:rPr>
        <w:t xml:space="preserve"> </w:t>
      </w:r>
      <w:r w:rsidR="00940967" w:rsidRPr="00940967">
        <w:rPr>
          <w:sz w:val="18"/>
          <w:szCs w:val="18"/>
          <w:lang w:val="pl-PL" w:eastAsia="pl-PL" w:bidi="pl-PL"/>
        </w:rPr>
        <w:t>Przedawkowanie kofeiny może skutkować bólem w okolicy nadbrzusza, wymiotami, diurezą, tachykardią lub zaburzeniami rytmu serca, pobudzeniem OUN (bezsenność, niepokój, podniecenie, pobudzenie, drżączka, drżenie oraz napady drgawek). Nie jest dostępne żadne swoiste antidotum, ale można stosować środki wspomagające, takie jak antagoniści beta adrenoreceptorów, w celu odwrócenia działania kardiotoksycznego.</w:t>
      </w:r>
      <w:r w:rsidR="00940967" w:rsidRPr="00940967">
        <w:rPr>
          <w:sz w:val="18"/>
          <w:szCs w:val="18"/>
          <w:lang w:val="pl-PL" w:eastAsia="pl-PL" w:bidi="pl-PL"/>
        </w:rPr>
        <w:t xml:space="preserve"> </w:t>
      </w:r>
      <w:r w:rsidR="00940967" w:rsidRPr="00940967">
        <w:rPr>
          <w:sz w:val="18"/>
          <w:szCs w:val="18"/>
          <w:lang w:val="pl-PL" w:eastAsia="pl-PL" w:bidi="pl-PL"/>
        </w:rPr>
        <w:t>W przypadku przedawkowania, należy zastosować intensywne leczenie objawowe.</w:t>
      </w:r>
    </w:p>
    <w:p w14:paraId="706843E0" w14:textId="4A65768A" w:rsidR="004041AC" w:rsidRPr="000A75CB" w:rsidRDefault="000931A1" w:rsidP="000A75CB">
      <w:pPr>
        <w:suppressAutoHyphens w:val="0"/>
        <w:jc w:val="both"/>
        <w:rPr>
          <w:bCs/>
          <w:sz w:val="18"/>
          <w:szCs w:val="18"/>
        </w:rPr>
      </w:pPr>
      <w:r w:rsidRPr="00BA60CD">
        <w:rPr>
          <w:b/>
          <w:bCs/>
          <w:sz w:val="18"/>
          <w:szCs w:val="18"/>
        </w:rPr>
        <w:t xml:space="preserve">Podmiot odpowiedzialny: </w:t>
      </w:r>
      <w:r w:rsidRPr="00BA60CD">
        <w:rPr>
          <w:bCs/>
          <w:sz w:val="18"/>
          <w:szCs w:val="18"/>
        </w:rPr>
        <w:t>Biofarm Sp. z o.o., ul. Wałbrzyska 13, 60-198 Poznań.</w:t>
      </w:r>
      <w:r w:rsidRPr="00BA60CD">
        <w:rPr>
          <w:b/>
          <w:bCs/>
          <w:sz w:val="18"/>
          <w:szCs w:val="18"/>
        </w:rPr>
        <w:t xml:space="preserve"> Pozwolenie na dopuszczenie do obrotu:</w:t>
      </w:r>
      <w:r w:rsidR="008F3CD9" w:rsidRPr="008F3CD9">
        <w:t xml:space="preserve"> </w:t>
      </w:r>
      <w:r w:rsidR="00940967">
        <w:rPr>
          <w:bCs/>
          <w:sz w:val="18"/>
          <w:szCs w:val="18"/>
        </w:rPr>
        <w:t>Aviorexan</w:t>
      </w:r>
      <w:r w:rsidR="00B33A03">
        <w:rPr>
          <w:bCs/>
          <w:sz w:val="18"/>
          <w:szCs w:val="18"/>
        </w:rPr>
        <w:t xml:space="preserve">: pozwolenie nr </w:t>
      </w:r>
      <w:r w:rsidR="00940967">
        <w:rPr>
          <w:bCs/>
          <w:sz w:val="18"/>
          <w:szCs w:val="18"/>
        </w:rPr>
        <w:t>26702</w:t>
      </w:r>
      <w:r w:rsidR="00981E9A">
        <w:rPr>
          <w:bCs/>
          <w:sz w:val="18"/>
          <w:szCs w:val="18"/>
        </w:rPr>
        <w:t xml:space="preserve">. </w:t>
      </w:r>
      <w:r w:rsidRPr="00BA60CD">
        <w:rPr>
          <w:b/>
          <w:sz w:val="18"/>
          <w:szCs w:val="18"/>
        </w:rPr>
        <w:t>OTC</w:t>
      </w:r>
      <w:r w:rsidRPr="00BA60CD">
        <w:rPr>
          <w:sz w:val="18"/>
          <w:szCs w:val="18"/>
        </w:rPr>
        <w:t xml:space="preserve"> – produkt leczniczy wydawany bez przepisu lekarza. </w:t>
      </w:r>
      <w:r w:rsidRPr="00BA60CD">
        <w:rPr>
          <w:b/>
          <w:sz w:val="18"/>
          <w:szCs w:val="18"/>
        </w:rPr>
        <w:t>Dostępne opakowania:</w:t>
      </w:r>
      <w:r w:rsidR="000270CB">
        <w:rPr>
          <w:sz w:val="18"/>
          <w:szCs w:val="18"/>
        </w:rPr>
        <w:t>10</w:t>
      </w:r>
      <w:bookmarkStart w:id="0" w:name="_GoBack"/>
      <w:bookmarkEnd w:id="0"/>
      <w:r w:rsidRPr="00BA60CD">
        <w:rPr>
          <w:sz w:val="18"/>
          <w:szCs w:val="18"/>
        </w:rPr>
        <w:t xml:space="preserve"> tabletek </w:t>
      </w:r>
    </w:p>
    <w:sectPr w:rsidR="004041AC" w:rsidRPr="000A75CB" w:rsidSect="009E43D2">
      <w:footnotePr>
        <w:pos w:val="beneathText"/>
      </w:footnotePr>
      <w:pgSz w:w="11905" w:h="16837"/>
      <w:pgMar w:top="720" w:right="720" w:bottom="720" w:left="720" w:header="70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EC336" w14:textId="77777777" w:rsidR="00D44FFE" w:rsidRDefault="00D44FFE">
      <w:r>
        <w:separator/>
      </w:r>
    </w:p>
  </w:endnote>
  <w:endnote w:type="continuationSeparator" w:id="0">
    <w:p w14:paraId="1414658F" w14:textId="77777777" w:rsidR="00D44FFE" w:rsidRDefault="00D4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C92CB" w14:textId="77777777" w:rsidR="00D44FFE" w:rsidRDefault="00D44FFE">
      <w:r>
        <w:separator/>
      </w:r>
    </w:p>
  </w:footnote>
  <w:footnote w:type="continuationSeparator" w:id="0">
    <w:p w14:paraId="37E2B79C" w14:textId="77777777" w:rsidR="00D44FFE" w:rsidRDefault="00D44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BB41C36"/>
    <w:multiLevelType w:val="hybridMultilevel"/>
    <w:tmpl w:val="E8DE24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5894F33"/>
    <w:multiLevelType w:val="hybridMultilevel"/>
    <w:tmpl w:val="380E0138"/>
    <w:lvl w:ilvl="0" w:tplc="FFFFFFFF">
      <w:start w:val="1"/>
      <w:numFmt w:val="bullet"/>
      <w:pStyle w:val="MoRPList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54A69"/>
    <w:multiLevelType w:val="hybridMultilevel"/>
    <w:tmpl w:val="B6C6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67D9E"/>
    <w:multiLevelType w:val="hybridMultilevel"/>
    <w:tmpl w:val="B4549F70"/>
    <w:lvl w:ilvl="0" w:tplc="FFFFFFFF">
      <w:start w:val="1"/>
      <w:numFmt w:val="bullet"/>
      <w:lvlText w:val="-"/>
      <w:lvlJc w:val="left"/>
      <w:pPr>
        <w:tabs>
          <w:tab w:val="num" w:pos="1134"/>
        </w:tabs>
        <w:ind w:left="851" w:hanging="284"/>
      </w:pPr>
      <w:rPr>
        <w:rFonts w:ascii="ArialMT" w:hAnsi="Arial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2E7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672C85"/>
    <w:multiLevelType w:val="hybridMultilevel"/>
    <w:tmpl w:val="5DF8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A1"/>
    <w:rsid w:val="000270CB"/>
    <w:rsid w:val="000931A1"/>
    <w:rsid w:val="000A75CB"/>
    <w:rsid w:val="000B52D2"/>
    <w:rsid w:val="000D0DF6"/>
    <w:rsid w:val="00115644"/>
    <w:rsid w:val="001423C8"/>
    <w:rsid w:val="00192976"/>
    <w:rsid w:val="001D33D9"/>
    <w:rsid w:val="001E498C"/>
    <w:rsid w:val="0022729D"/>
    <w:rsid w:val="00250AD9"/>
    <w:rsid w:val="002B27EB"/>
    <w:rsid w:val="002C2A0B"/>
    <w:rsid w:val="00357290"/>
    <w:rsid w:val="00371E04"/>
    <w:rsid w:val="003A04A9"/>
    <w:rsid w:val="003F48CD"/>
    <w:rsid w:val="004041AC"/>
    <w:rsid w:val="00464949"/>
    <w:rsid w:val="00477E0E"/>
    <w:rsid w:val="004A1632"/>
    <w:rsid w:val="004D2602"/>
    <w:rsid w:val="005374DE"/>
    <w:rsid w:val="00565348"/>
    <w:rsid w:val="005975F6"/>
    <w:rsid w:val="00656EA4"/>
    <w:rsid w:val="00680380"/>
    <w:rsid w:val="006D1000"/>
    <w:rsid w:val="006F20AF"/>
    <w:rsid w:val="00734932"/>
    <w:rsid w:val="007E7255"/>
    <w:rsid w:val="008B74CD"/>
    <w:rsid w:val="008C1623"/>
    <w:rsid w:val="008F3CD9"/>
    <w:rsid w:val="00940967"/>
    <w:rsid w:val="00981E9A"/>
    <w:rsid w:val="009E43D2"/>
    <w:rsid w:val="00AF2E5D"/>
    <w:rsid w:val="00B03920"/>
    <w:rsid w:val="00B049E0"/>
    <w:rsid w:val="00B23A10"/>
    <w:rsid w:val="00B33A03"/>
    <w:rsid w:val="00B67A36"/>
    <w:rsid w:val="00B81788"/>
    <w:rsid w:val="00BA60CD"/>
    <w:rsid w:val="00C01A37"/>
    <w:rsid w:val="00C55E3B"/>
    <w:rsid w:val="00C63C1D"/>
    <w:rsid w:val="00D1731C"/>
    <w:rsid w:val="00D44FFE"/>
    <w:rsid w:val="00DA1B0E"/>
    <w:rsid w:val="00DE2DC6"/>
    <w:rsid w:val="00E4236F"/>
    <w:rsid w:val="00EC376D"/>
    <w:rsid w:val="00EC72D3"/>
    <w:rsid w:val="00EF709D"/>
    <w:rsid w:val="00F0708C"/>
    <w:rsid w:val="00F409F0"/>
    <w:rsid w:val="00F56C40"/>
    <w:rsid w:val="00FA6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44243"/>
  <w15:chartTrackingRefBased/>
  <w15:docId w15:val="{600A15B5-0F73-4E21-9F64-8FF2A7B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1A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0931A1"/>
    <w:pPr>
      <w:keepNext/>
      <w:numPr>
        <w:ilvl w:val="3"/>
        <w:numId w:val="2"/>
      </w:numPr>
      <w:outlineLvl w:val="3"/>
    </w:pPr>
    <w:rPr>
      <w:rFonts w:eastAsia="Arial Unicode MS"/>
      <w:b/>
      <w:sz w:val="32"/>
      <w:lang w:val="de-D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931A1"/>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0931A1"/>
  </w:style>
  <w:style w:type="paragraph" w:styleId="Stopka">
    <w:name w:val="footer"/>
    <w:basedOn w:val="Normalny"/>
    <w:link w:val="StopkaZnak"/>
    <w:uiPriority w:val="99"/>
    <w:rsid w:val="000931A1"/>
    <w:pPr>
      <w:tabs>
        <w:tab w:val="center" w:pos="4536"/>
        <w:tab w:val="right" w:pos="9072"/>
      </w:tabs>
    </w:pPr>
    <w:rPr>
      <w:sz w:val="26"/>
      <w:szCs w:val="20"/>
    </w:rPr>
  </w:style>
  <w:style w:type="character" w:customStyle="1" w:styleId="StopkaZnak">
    <w:name w:val="Stopka Znak"/>
    <w:basedOn w:val="Domylnaczcionkaakapitu"/>
    <w:link w:val="Stopka"/>
    <w:uiPriority w:val="99"/>
    <w:rsid w:val="000931A1"/>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0931A1"/>
    <w:pPr>
      <w:ind w:left="708"/>
      <w:jc w:val="both"/>
    </w:pPr>
    <w:rPr>
      <w:sz w:val="26"/>
      <w:szCs w:val="20"/>
    </w:rPr>
  </w:style>
  <w:style w:type="character" w:customStyle="1" w:styleId="hps">
    <w:name w:val="hps"/>
    <w:basedOn w:val="Domylnaczcionkaakapitu"/>
    <w:uiPriority w:val="99"/>
    <w:rsid w:val="000931A1"/>
    <w:rPr>
      <w:rFonts w:cs="Times New Roman"/>
    </w:rPr>
  </w:style>
  <w:style w:type="paragraph" w:customStyle="1" w:styleId="WW-Tekstpodstawowy3">
    <w:name w:val="WW-Tekst podstawowy 3"/>
    <w:basedOn w:val="Normalny"/>
    <w:uiPriority w:val="99"/>
    <w:rsid w:val="000931A1"/>
    <w:rPr>
      <w:sz w:val="32"/>
      <w:szCs w:val="20"/>
    </w:rPr>
  </w:style>
  <w:style w:type="paragraph" w:styleId="Tekstpodstawowy">
    <w:name w:val="Body Text"/>
    <w:basedOn w:val="Normalny"/>
    <w:link w:val="TekstpodstawowyZnak"/>
    <w:rsid w:val="000931A1"/>
    <w:pPr>
      <w:suppressAutoHyphens w:val="0"/>
    </w:pPr>
    <w:rPr>
      <w:szCs w:val="20"/>
      <w:lang w:val="en-AU" w:eastAsia="en-US"/>
    </w:rPr>
  </w:style>
  <w:style w:type="character" w:customStyle="1" w:styleId="TekstpodstawowyZnak">
    <w:name w:val="Tekst podstawowy Znak"/>
    <w:basedOn w:val="Domylnaczcionkaakapitu"/>
    <w:link w:val="Tekstpodstawowy"/>
    <w:rsid w:val="000931A1"/>
    <w:rPr>
      <w:rFonts w:ascii="Times New Roman" w:eastAsia="Times New Roman" w:hAnsi="Times New Roman" w:cs="Times New Roman"/>
      <w:sz w:val="24"/>
      <w:szCs w:val="20"/>
      <w:lang w:val="en-AU"/>
    </w:rPr>
  </w:style>
  <w:style w:type="paragraph" w:customStyle="1" w:styleId="MoRPListBullet">
    <w:name w:val="MoRP List Bullet"/>
    <w:basedOn w:val="Normalny"/>
    <w:link w:val="MoRPListBulletChar"/>
    <w:rsid w:val="000931A1"/>
    <w:pPr>
      <w:numPr>
        <w:numId w:val="5"/>
      </w:numPr>
      <w:tabs>
        <w:tab w:val="left" w:pos="1985"/>
      </w:tabs>
      <w:suppressAutoHyphens w:val="0"/>
      <w:spacing w:line="288" w:lineRule="auto"/>
      <w:jc w:val="both"/>
    </w:pPr>
    <w:rPr>
      <w:rFonts w:ascii="Arial" w:hAnsi="Arial"/>
      <w:sz w:val="22"/>
      <w:szCs w:val="20"/>
      <w:lang w:eastAsia="en-US"/>
    </w:rPr>
  </w:style>
  <w:style w:type="character" w:customStyle="1" w:styleId="MoRPListBulletChar">
    <w:name w:val="MoRP List Bullet Char"/>
    <w:link w:val="MoRPListBullet"/>
    <w:locked/>
    <w:rsid w:val="000931A1"/>
    <w:rPr>
      <w:rFonts w:ascii="Arial" w:eastAsia="Times New Roman" w:hAnsi="Arial" w:cs="Times New Roman"/>
      <w:szCs w:val="20"/>
    </w:rPr>
  </w:style>
  <w:style w:type="paragraph" w:customStyle="1" w:styleId="Text">
    <w:name w:val="Text"/>
    <w:rsid w:val="000931A1"/>
    <w:pPr>
      <w:spacing w:after="0" w:line="240" w:lineRule="atLeast"/>
      <w:ind w:left="568"/>
    </w:pPr>
    <w:rPr>
      <w:rFonts w:ascii="Times New Roman" w:eastAsia="Times New Roman" w:hAnsi="Times New Roman" w:cs="Times New Roman"/>
      <w:szCs w:val="20"/>
      <w:lang w:eastAsia="de-DE"/>
    </w:rPr>
  </w:style>
  <w:style w:type="paragraph" w:styleId="Tekstprzypisukocowego">
    <w:name w:val="endnote text"/>
    <w:basedOn w:val="Normalny"/>
    <w:link w:val="TekstprzypisukocowegoZnak"/>
    <w:semiHidden/>
    <w:rsid w:val="000931A1"/>
    <w:pPr>
      <w:tabs>
        <w:tab w:val="left" w:pos="567"/>
      </w:tabs>
      <w:suppressAutoHyphens w:val="0"/>
    </w:pPr>
    <w:rPr>
      <w:sz w:val="22"/>
      <w:szCs w:val="20"/>
      <w:lang w:eastAsia="en-US"/>
    </w:rPr>
  </w:style>
  <w:style w:type="character" w:customStyle="1" w:styleId="TekstprzypisukocowegoZnak">
    <w:name w:val="Tekst przypisu końcowego Znak"/>
    <w:basedOn w:val="Domylnaczcionkaakapitu"/>
    <w:link w:val="Tekstprzypisukocowego"/>
    <w:semiHidden/>
    <w:rsid w:val="000931A1"/>
    <w:rPr>
      <w:rFonts w:ascii="Times New Roman" w:eastAsia="Times New Roman" w:hAnsi="Times New Roman" w:cs="Times New Roman"/>
      <w:szCs w:val="20"/>
    </w:rPr>
  </w:style>
  <w:style w:type="character" w:styleId="Hipercze">
    <w:name w:val="Hyperlink"/>
    <w:basedOn w:val="Domylnaczcionkaakapitu"/>
    <w:uiPriority w:val="99"/>
    <w:unhideWhenUsed/>
    <w:rsid w:val="00115644"/>
    <w:rPr>
      <w:color w:val="0563C1" w:themeColor="hyperlink"/>
      <w:u w:val="single"/>
    </w:rPr>
  </w:style>
  <w:style w:type="character" w:styleId="Odwoaniedokomentarza">
    <w:name w:val="annotation reference"/>
    <w:basedOn w:val="Domylnaczcionkaakapitu"/>
    <w:uiPriority w:val="99"/>
    <w:semiHidden/>
    <w:unhideWhenUsed/>
    <w:rsid w:val="00C63C1D"/>
    <w:rPr>
      <w:sz w:val="16"/>
      <w:szCs w:val="16"/>
    </w:rPr>
  </w:style>
  <w:style w:type="paragraph" w:styleId="Tekstkomentarza">
    <w:name w:val="annotation text"/>
    <w:basedOn w:val="Normalny"/>
    <w:link w:val="TekstkomentarzaZnak"/>
    <w:uiPriority w:val="99"/>
    <w:semiHidden/>
    <w:unhideWhenUsed/>
    <w:rsid w:val="00C63C1D"/>
    <w:rPr>
      <w:sz w:val="20"/>
      <w:szCs w:val="20"/>
    </w:rPr>
  </w:style>
  <w:style w:type="character" w:customStyle="1" w:styleId="TekstkomentarzaZnak">
    <w:name w:val="Tekst komentarza Znak"/>
    <w:basedOn w:val="Domylnaczcionkaakapitu"/>
    <w:link w:val="Tekstkomentarza"/>
    <w:uiPriority w:val="99"/>
    <w:semiHidden/>
    <w:rsid w:val="00C63C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3C1D"/>
    <w:rPr>
      <w:b/>
      <w:bCs/>
    </w:rPr>
  </w:style>
  <w:style w:type="character" w:customStyle="1" w:styleId="TematkomentarzaZnak">
    <w:name w:val="Temat komentarza Znak"/>
    <w:basedOn w:val="TekstkomentarzaZnak"/>
    <w:link w:val="Tematkomentarza"/>
    <w:uiPriority w:val="99"/>
    <w:semiHidden/>
    <w:rsid w:val="00C63C1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63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C1D"/>
    <w:rPr>
      <w:rFonts w:ascii="Segoe UI" w:eastAsia="Times New Roman" w:hAnsi="Segoe UI" w:cs="Segoe UI"/>
      <w:sz w:val="18"/>
      <w:szCs w:val="18"/>
      <w:lang w:eastAsia="ar-SA"/>
    </w:rPr>
  </w:style>
  <w:style w:type="table" w:styleId="Tabela-Siatka">
    <w:name w:val="Table Grid"/>
    <w:basedOn w:val="Standardowy"/>
    <w:uiPriority w:val="39"/>
    <w:rsid w:val="00D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2E5D"/>
    <w:pPr>
      <w:tabs>
        <w:tab w:val="center" w:pos="4536"/>
        <w:tab w:val="right" w:pos="9072"/>
      </w:tabs>
    </w:pPr>
  </w:style>
  <w:style w:type="character" w:customStyle="1" w:styleId="NagwekZnak">
    <w:name w:val="Nagłówek Znak"/>
    <w:basedOn w:val="Domylnaczcionkaakapitu"/>
    <w:link w:val="Nagwek"/>
    <w:uiPriority w:val="99"/>
    <w:rsid w:val="00AF2E5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z.ezdrowi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1577</Words>
  <Characters>9465</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Antoniewicz</dc:creator>
  <cp:keywords/>
  <dc:description/>
  <cp:lastModifiedBy>Sandra Pachacz</cp:lastModifiedBy>
  <cp:revision>9</cp:revision>
  <dcterms:created xsi:type="dcterms:W3CDTF">2021-10-04T13:20:00Z</dcterms:created>
  <dcterms:modified xsi:type="dcterms:W3CDTF">2023-02-20T11:29:00Z</dcterms:modified>
</cp:coreProperties>
</file>