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BD125C">
        <w:rPr>
          <w:b/>
          <w:sz w:val="18"/>
          <w:szCs w:val="18"/>
        </w:rPr>
        <w:t>Vigalex</w:t>
      </w:r>
      <w:proofErr w:type="spellEnd"/>
      <w:r w:rsidR="00BD125C">
        <w:rPr>
          <w:b/>
          <w:sz w:val="18"/>
          <w:szCs w:val="18"/>
        </w:rPr>
        <w:t xml:space="preserve"> Forte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0F72B1" w:rsidRPr="000F72B1" w:rsidRDefault="000F72B1" w:rsidP="000F72B1">
      <w:pPr>
        <w:suppressAutoHyphens w:val="0"/>
        <w:rPr>
          <w:bCs/>
          <w:sz w:val="18"/>
          <w:szCs w:val="18"/>
        </w:rPr>
      </w:pPr>
      <w:proofErr w:type="spellStart"/>
      <w:r w:rsidRPr="000F72B1">
        <w:rPr>
          <w:b/>
          <w:bCs/>
          <w:sz w:val="18"/>
          <w:szCs w:val="18"/>
        </w:rPr>
        <w:t>Vigalex</w:t>
      </w:r>
      <w:proofErr w:type="spellEnd"/>
      <w:r w:rsidRPr="000F72B1">
        <w:rPr>
          <w:b/>
          <w:bCs/>
          <w:sz w:val="18"/>
          <w:szCs w:val="18"/>
        </w:rPr>
        <w:t xml:space="preserve"> Forte (2000 IU):</w:t>
      </w:r>
      <w:r w:rsidRPr="000F72B1">
        <w:rPr>
          <w:bCs/>
          <w:sz w:val="18"/>
          <w:szCs w:val="18"/>
        </w:rPr>
        <w:t xml:space="preserve"> Jedna tabletka zawiera 20 mg cholekalcyferolu, proszku, co odpowiada 0,05 mg (2000 IU) cholekalcyferolu (witaminy D</w:t>
      </w:r>
      <w:r w:rsidRPr="009E2AAD">
        <w:rPr>
          <w:bCs/>
          <w:sz w:val="18"/>
          <w:szCs w:val="18"/>
          <w:vertAlign w:val="subscript"/>
        </w:rPr>
        <w:t>3</w:t>
      </w:r>
      <w:r w:rsidRPr="000F72B1">
        <w:rPr>
          <w:bCs/>
          <w:sz w:val="18"/>
          <w:szCs w:val="18"/>
        </w:rPr>
        <w:t>).</w:t>
      </w:r>
      <w:r w:rsidR="00AA010B">
        <w:rPr>
          <w:bCs/>
          <w:sz w:val="18"/>
          <w:szCs w:val="18"/>
        </w:rPr>
        <w:t xml:space="preserve"> </w:t>
      </w:r>
      <w:r w:rsidR="00AA010B" w:rsidRPr="00012DF3">
        <w:rPr>
          <w:bCs/>
          <w:sz w:val="18"/>
          <w:szCs w:val="18"/>
          <w:u w:val="single"/>
        </w:rPr>
        <w:t>Substancja pomocnicza o znanym działaniu</w:t>
      </w:r>
      <w:r w:rsidR="00AA010B" w:rsidRPr="00AA010B">
        <w:rPr>
          <w:bCs/>
          <w:sz w:val="18"/>
          <w:szCs w:val="18"/>
        </w:rPr>
        <w:t>: Każda tabletka zawiera 3,5 mg sacharozy.</w:t>
      </w:r>
    </w:p>
    <w:p w:rsidR="00D54A88" w:rsidRPr="00DF2651" w:rsidRDefault="00D54A88" w:rsidP="009E2AAD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9E2AAD" w:rsidRPr="009E2AAD">
        <w:rPr>
          <w:bCs/>
          <w:sz w:val="18"/>
          <w:szCs w:val="18"/>
        </w:rPr>
        <w:t>Zapobieganie krzywicy i os</w:t>
      </w:r>
      <w:r w:rsidR="009E2AAD">
        <w:rPr>
          <w:bCs/>
          <w:sz w:val="18"/>
          <w:szCs w:val="18"/>
        </w:rPr>
        <w:t xml:space="preserve">teomalacji u dzieci i </w:t>
      </w:r>
      <w:r w:rsidR="00770071">
        <w:rPr>
          <w:bCs/>
          <w:sz w:val="18"/>
          <w:szCs w:val="18"/>
        </w:rPr>
        <w:t xml:space="preserve">osób </w:t>
      </w:r>
      <w:r w:rsidR="009E2AAD">
        <w:rPr>
          <w:bCs/>
          <w:sz w:val="18"/>
          <w:szCs w:val="18"/>
        </w:rPr>
        <w:t>dorosłych, p</w:t>
      </w:r>
      <w:r w:rsidR="009E2AAD" w:rsidRPr="009E2AAD">
        <w:rPr>
          <w:bCs/>
          <w:sz w:val="18"/>
          <w:szCs w:val="18"/>
        </w:rPr>
        <w:t>rofilaktyka niedoboru witaminy D u kobiet planujących ciążę, w ciąży i karmiących pie</w:t>
      </w:r>
      <w:r w:rsidR="009E2AAD">
        <w:rPr>
          <w:bCs/>
          <w:sz w:val="18"/>
          <w:szCs w:val="18"/>
        </w:rPr>
        <w:t>rsią w porozumieniu z lekarzem, z</w:t>
      </w:r>
      <w:r w:rsidR="009E2AAD" w:rsidRPr="009E2AAD">
        <w:rPr>
          <w:bCs/>
          <w:sz w:val="18"/>
          <w:szCs w:val="18"/>
        </w:rPr>
        <w:t>apobieganie niedoborowi wi</w:t>
      </w:r>
      <w:r w:rsidR="009E2AAD">
        <w:rPr>
          <w:bCs/>
          <w:sz w:val="18"/>
          <w:szCs w:val="18"/>
        </w:rPr>
        <w:t xml:space="preserve">taminy D u dzieci i </w:t>
      </w:r>
      <w:r w:rsidR="00770071">
        <w:rPr>
          <w:bCs/>
          <w:sz w:val="18"/>
          <w:szCs w:val="18"/>
        </w:rPr>
        <w:t xml:space="preserve">osób </w:t>
      </w:r>
      <w:r w:rsidR="009E2AAD">
        <w:rPr>
          <w:bCs/>
          <w:sz w:val="18"/>
          <w:szCs w:val="18"/>
        </w:rPr>
        <w:t>dorosłych, l</w:t>
      </w:r>
      <w:r w:rsidR="009E2AAD" w:rsidRPr="009E2AAD">
        <w:rPr>
          <w:bCs/>
          <w:sz w:val="18"/>
          <w:szCs w:val="18"/>
        </w:rPr>
        <w:t xml:space="preserve">eczenie wspomagające osteoporozy u </w:t>
      </w:r>
      <w:r w:rsidR="00770071">
        <w:rPr>
          <w:bCs/>
          <w:sz w:val="18"/>
          <w:szCs w:val="18"/>
        </w:rPr>
        <w:t xml:space="preserve">osób </w:t>
      </w:r>
      <w:r w:rsidR="009E2AAD" w:rsidRPr="009E2AAD">
        <w:rPr>
          <w:bCs/>
          <w:sz w:val="18"/>
          <w:szCs w:val="18"/>
        </w:rPr>
        <w:t>dorosłych.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2DF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2DF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012DF3"/>
    <w:rsid w:val="000F72B1"/>
    <w:rsid w:val="00235A9E"/>
    <w:rsid w:val="004041AC"/>
    <w:rsid w:val="005266CB"/>
    <w:rsid w:val="00770071"/>
    <w:rsid w:val="007A0629"/>
    <w:rsid w:val="00801A39"/>
    <w:rsid w:val="009E2AAD"/>
    <w:rsid w:val="00AA010B"/>
    <w:rsid w:val="00AE6BA9"/>
    <w:rsid w:val="00B42CD8"/>
    <w:rsid w:val="00BD125C"/>
    <w:rsid w:val="00D54A88"/>
    <w:rsid w:val="00DA135D"/>
    <w:rsid w:val="00DF2651"/>
    <w:rsid w:val="00E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7</cp:revision>
  <dcterms:created xsi:type="dcterms:W3CDTF">2020-06-10T11:56:00Z</dcterms:created>
  <dcterms:modified xsi:type="dcterms:W3CDTF">2023-08-24T13:47:00Z</dcterms:modified>
</cp:coreProperties>
</file>